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560" w:lineRule="exact"/>
        <w:rPr>
          <w:rFonts w:hint="default" w:ascii="仿宋_GB2312" w:hAnsi="宋体" w:eastAsia="仿宋_GB2312"/>
          <w:b/>
          <w:color w:val="FF0000"/>
          <w:sz w:val="40"/>
          <w:szCs w:val="32"/>
          <w:u w:val="single"/>
          <w:lang w:val="en-US" w:eastAsia="zh-CN"/>
        </w:rPr>
      </w:pPr>
      <w:r>
        <w:rPr>
          <w:rFonts w:hint="eastAsia" w:ascii="仿宋_GB2312" w:hAnsi="宋体" w:eastAsia="仿宋_GB2312"/>
          <w:b/>
          <w:sz w:val="40"/>
          <w:szCs w:val="32"/>
        </w:rPr>
        <mc:AlternateContent>
          <mc:Choice Requires="wps">
            <w:drawing>
              <wp:anchor distT="0" distB="0" distL="114300" distR="114300" simplePos="0" relativeHeight="251659264" behindDoc="0" locked="0" layoutInCell="1" allowOverlap="1">
                <wp:simplePos x="0" y="0"/>
                <wp:positionH relativeFrom="column">
                  <wp:posOffset>4269105</wp:posOffset>
                </wp:positionH>
                <wp:positionV relativeFrom="paragraph">
                  <wp:posOffset>38735</wp:posOffset>
                </wp:positionV>
                <wp:extent cx="1025525" cy="753110"/>
                <wp:effectExtent l="10795" t="10795" r="11430" b="17145"/>
                <wp:wrapNone/>
                <wp:docPr id="1" name="矩形 8"/>
                <wp:cNvGraphicFramePr/>
                <a:graphic xmlns:a="http://schemas.openxmlformats.org/drawingml/2006/main">
                  <a:graphicData uri="http://schemas.microsoft.com/office/word/2010/wordprocessingShape">
                    <wps:wsp>
                      <wps:cNvSpPr/>
                      <wps:spPr>
                        <a:xfrm>
                          <a:off x="0" y="0"/>
                          <a:ext cx="1025525" cy="753110"/>
                        </a:xfrm>
                        <a:prstGeom prst="rect">
                          <a:avLst/>
                        </a:prstGeom>
                        <a:solidFill>
                          <a:srgbClr val="FFFFFF"/>
                        </a:solidFill>
                        <a:ln w="22225" cap="flat" cmpd="sng">
                          <a:solidFill>
                            <a:srgbClr val="000000"/>
                          </a:solidFill>
                          <a:prstDash val="solid"/>
                          <a:miter/>
                          <a:headEnd type="none" w="med" len="med"/>
                          <a:tailEnd type="none" w="med" len="med"/>
                        </a:ln>
                      </wps:spPr>
                      <wps:txbx>
                        <w:txbxContent>
                          <w:p>
                            <w:pPr>
                              <w:spacing w:line="400" w:lineRule="exact"/>
                              <w:jc w:val="center"/>
                              <w:rPr>
                                <w:rFonts w:ascii="仿宋_GB2312" w:hAnsi="Calibri" w:eastAsia="仿宋_GB2312"/>
                                <w:sz w:val="28"/>
                                <w:szCs w:val="28"/>
                              </w:rPr>
                            </w:pPr>
                            <w:r>
                              <w:rPr>
                                <w:rFonts w:hint="eastAsia" w:ascii="仿宋_GB2312" w:hAnsi="Calibri" w:eastAsia="仿宋_GB2312"/>
                                <w:sz w:val="28"/>
                                <w:szCs w:val="28"/>
                              </w:rPr>
                              <w:t>内部资料</w:t>
                            </w:r>
                          </w:p>
                          <w:p>
                            <w:pPr>
                              <w:spacing w:line="400" w:lineRule="exact"/>
                              <w:jc w:val="center"/>
                              <w:rPr>
                                <w:rFonts w:ascii="仿宋_GB2312" w:hAnsi="Calibri" w:eastAsia="仿宋_GB2312"/>
                                <w:sz w:val="28"/>
                                <w:szCs w:val="28"/>
                              </w:rPr>
                            </w:pPr>
                            <w:r>
                              <w:rPr>
                                <w:rFonts w:hint="eastAsia" w:ascii="仿宋_GB2312" w:hAnsi="Calibri" w:eastAsia="仿宋_GB2312"/>
                                <w:sz w:val="28"/>
                                <w:szCs w:val="28"/>
                              </w:rPr>
                              <w:t>注意保密</w:t>
                            </w:r>
                          </w:p>
                        </w:txbxContent>
                      </wps:txbx>
                      <wps:bodyPr wrap="square" lIns="91440" tIns="118800" rIns="91440" bIns="45720" upright="1"/>
                    </wps:wsp>
                  </a:graphicData>
                </a:graphic>
              </wp:anchor>
            </w:drawing>
          </mc:Choice>
          <mc:Fallback>
            <w:pict>
              <v:rect id="矩形 8" o:spid="_x0000_s1026" o:spt="1" style="position:absolute;left:0pt;margin-left:336.15pt;margin-top:3.05pt;height:59.3pt;width:80.75pt;z-index:251659264;mso-width-relative:page;mso-height-relative:page;" fillcolor="#FFFFFF" filled="t" stroked="t" coordsize="21600,21600" o:gfxdata="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PHmtkAAAAJAQAADwAAAAAAAAABACAA&#10;AAAiAAAAZHJzL2Rvd25yZXYueG1sUEsBAhQAFAAAAAgAh07iQK+6FUsMAgAAHwQAAA4AAAAAAAAA&#10;AQAgAAAAKAEAAGRycy9lMm9Eb2MueG1sUEsFBgAAAAAGAAYAWQEAAKYFAAAAAA==&#10;">
                <v:fill on="t" focussize="0,0"/>
                <v:stroke weight="1.75pt" color="#000000" joinstyle="miter"/>
                <v:imagedata o:title=""/>
                <o:lock v:ext="edit" aspectratio="f"/>
                <v:textbox inset="2.54mm,3.3mm,2.54mm,1.27mm">
                  <w:txbxContent>
                    <w:p>
                      <w:pPr>
                        <w:spacing w:line="400" w:lineRule="exact"/>
                        <w:jc w:val="center"/>
                        <w:rPr>
                          <w:rFonts w:ascii="仿宋_GB2312" w:hAnsi="Calibri" w:eastAsia="仿宋_GB2312"/>
                          <w:sz w:val="28"/>
                          <w:szCs w:val="28"/>
                        </w:rPr>
                      </w:pPr>
                      <w:r>
                        <w:rPr>
                          <w:rFonts w:hint="eastAsia" w:ascii="仿宋_GB2312" w:hAnsi="Calibri" w:eastAsia="仿宋_GB2312"/>
                          <w:sz w:val="28"/>
                          <w:szCs w:val="28"/>
                        </w:rPr>
                        <w:t>内部资料</w:t>
                      </w:r>
                    </w:p>
                    <w:p>
                      <w:pPr>
                        <w:spacing w:line="400" w:lineRule="exact"/>
                        <w:jc w:val="center"/>
                        <w:rPr>
                          <w:rFonts w:ascii="仿宋_GB2312" w:hAnsi="Calibri" w:eastAsia="仿宋_GB2312"/>
                          <w:sz w:val="28"/>
                          <w:szCs w:val="28"/>
                        </w:rPr>
                      </w:pPr>
                      <w:r>
                        <w:rPr>
                          <w:rFonts w:hint="eastAsia" w:ascii="仿宋_GB2312" w:hAnsi="Calibri" w:eastAsia="仿宋_GB2312"/>
                          <w:sz w:val="28"/>
                          <w:szCs w:val="28"/>
                        </w:rPr>
                        <w:t>注意保密</w:t>
                      </w:r>
                    </w:p>
                  </w:txbxContent>
                </v:textbox>
              </v:rect>
            </w:pict>
          </mc:Fallback>
        </mc:AlternateContent>
      </w:r>
      <w:r>
        <w:rPr>
          <w:rFonts w:hint="eastAsia" w:ascii="仿宋_GB2312" w:eastAsia="仿宋_GB2312"/>
          <w:sz w:val="32"/>
        </w:rPr>
        <w:t>项</w:t>
      </w:r>
      <w:r>
        <w:rPr>
          <w:rFonts w:hint="eastAsia" w:ascii="仿宋_GB2312" w:eastAsia="仿宋_GB2312"/>
          <w:color w:val="auto"/>
          <w:sz w:val="32"/>
        </w:rPr>
        <w:t>目编号：</w:t>
      </w:r>
      <w:ins w:id="0" w:author="苏小水" w:date="2025-06-25T11:07:46Z">
        <w:r>
          <w:rPr>
            <w:rFonts w:hint="eastAsia" w:ascii="仿宋_GB2312" w:eastAsia="仿宋_GB2312"/>
            <w:color w:val="auto"/>
            <w:sz w:val="32"/>
            <w:lang w:val="en-US" w:eastAsia="zh-CN"/>
          </w:rPr>
          <w:t>21</w:t>
        </w:r>
      </w:ins>
      <w:ins w:id="1" w:author="苏小水" w:date="2025-06-25T11:07:47Z">
        <w:r>
          <w:rPr>
            <w:rFonts w:hint="eastAsia" w:ascii="仿宋_GB2312" w:eastAsia="仿宋_GB2312"/>
            <w:color w:val="auto"/>
            <w:sz w:val="32"/>
            <w:lang w:val="en-US" w:eastAsia="zh-CN"/>
          </w:rPr>
          <w:t>11</w:t>
        </w:r>
      </w:ins>
      <w:ins w:id="2" w:author="苏小水" w:date="2025-06-25T11:07:48Z">
        <w:r>
          <w:rPr>
            <w:rFonts w:hint="eastAsia" w:ascii="仿宋_GB2312" w:eastAsia="仿宋_GB2312"/>
            <w:color w:val="auto"/>
            <w:sz w:val="32"/>
            <w:lang w:val="en-US" w:eastAsia="zh-CN"/>
          </w:rPr>
          <w:t>250</w:t>
        </w:r>
      </w:ins>
      <w:ins w:id="3" w:author="苏小水" w:date="2025-06-25T11:07:49Z">
        <w:r>
          <w:rPr>
            <w:rFonts w:hint="eastAsia" w:ascii="仿宋_GB2312" w:eastAsia="仿宋_GB2312"/>
            <w:color w:val="auto"/>
            <w:sz w:val="32"/>
            <w:lang w:val="en-US" w:eastAsia="zh-CN"/>
          </w:rPr>
          <w:t>62</w:t>
        </w:r>
      </w:ins>
      <w:ins w:id="4" w:author="苏小水" w:date="2025-06-25T11:07:51Z">
        <w:r>
          <w:rPr>
            <w:rFonts w:hint="eastAsia" w:ascii="仿宋_GB2312" w:eastAsia="仿宋_GB2312"/>
            <w:color w:val="auto"/>
            <w:sz w:val="32"/>
            <w:lang w:val="en-US" w:eastAsia="zh-CN"/>
          </w:rPr>
          <w:t>38</w:t>
        </w:r>
      </w:ins>
      <w:ins w:id="5" w:author="苏小水" w:date="2025-06-25T11:07:52Z">
        <w:r>
          <w:rPr>
            <w:rFonts w:hint="eastAsia" w:ascii="仿宋_GB2312" w:eastAsia="仿宋_GB2312"/>
            <w:color w:val="auto"/>
            <w:sz w:val="32"/>
            <w:lang w:val="en-US" w:eastAsia="zh-CN"/>
          </w:rPr>
          <w:t>7</w:t>
        </w:r>
      </w:ins>
    </w:p>
    <w:p>
      <w:pPr>
        <w:spacing w:line="560" w:lineRule="exact"/>
        <w:rPr>
          <w:rFonts w:hint="eastAsia" w:ascii="宋体" w:hAnsi="宋体"/>
          <w:b/>
          <w:sz w:val="32"/>
          <w:szCs w:val="32"/>
        </w:rPr>
      </w:pPr>
      <w:bookmarkStart w:id="10" w:name="_GoBack"/>
      <w:bookmarkEnd w:id="10"/>
    </w:p>
    <w:p>
      <w:pPr>
        <w:spacing w:line="560" w:lineRule="exact"/>
        <w:rPr>
          <w:rFonts w:hint="eastAsia" w:ascii="宋体" w:hAnsi="宋体"/>
          <w:b/>
          <w:sz w:val="32"/>
          <w:szCs w:val="32"/>
        </w:rPr>
      </w:pPr>
    </w:p>
    <w:p>
      <w:pPr>
        <w:spacing w:line="560" w:lineRule="exact"/>
        <w:rPr>
          <w:rFonts w:hint="eastAsia" w:ascii="宋体" w:hAnsi="宋体"/>
          <w:b/>
          <w:sz w:val="32"/>
          <w:szCs w:val="32"/>
        </w:rPr>
      </w:pPr>
    </w:p>
    <w:p>
      <w:pPr>
        <w:spacing w:line="360" w:lineRule="auto"/>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山东钢铁集团日照有限公司</w:t>
      </w:r>
    </w:p>
    <w:p>
      <w:pPr>
        <w:spacing w:line="360" w:lineRule="auto"/>
        <w:jc w:val="center"/>
        <w:rPr>
          <w:rFonts w:hint="eastAsia" w:ascii="方正小标宋简体" w:hAnsi="宋体" w:eastAsia="方正小标宋简体"/>
          <w:b/>
          <w:color w:val="FF0000"/>
          <w:sz w:val="44"/>
          <w:szCs w:val="44"/>
          <w:u w:val="single"/>
        </w:rPr>
      </w:pPr>
      <w:r>
        <w:rPr>
          <w:rFonts w:hint="eastAsia" w:ascii="方正小标宋简体" w:hAnsi="宋体" w:eastAsia="方正小标宋简体" w:cs="Times New Roman"/>
          <w:b/>
          <w:color w:val="FF0000"/>
          <w:sz w:val="44"/>
          <w:szCs w:val="44"/>
          <w:u w:val="single"/>
          <w:lang w:val="en-US" w:eastAsia="zh-CN"/>
        </w:rPr>
        <w:t>日照基地</w:t>
      </w:r>
      <w:r>
        <w:rPr>
          <w:rFonts w:hint="eastAsia" w:ascii="方正小标宋简体" w:hAnsi="宋体" w:eastAsia="方正小标宋简体"/>
          <w:b/>
          <w:color w:val="FF0000"/>
          <w:sz w:val="44"/>
          <w:szCs w:val="44"/>
          <w:u w:val="single"/>
        </w:rPr>
        <w:t>信息化2025年云服务</w:t>
      </w:r>
    </w:p>
    <w:p>
      <w:pPr>
        <w:spacing w:line="360" w:lineRule="auto"/>
        <w:jc w:val="center"/>
        <w:rPr>
          <w:rFonts w:hint="eastAsia" w:ascii="宋体" w:hAnsi="宋体"/>
          <w:b/>
          <w:sz w:val="44"/>
        </w:rPr>
      </w:pPr>
      <w:r>
        <w:rPr>
          <w:rFonts w:hint="eastAsia" w:ascii="方正小标宋简体" w:hAnsi="宋体" w:eastAsia="方正小标宋简体"/>
          <w:b/>
          <w:sz w:val="44"/>
          <w:szCs w:val="44"/>
        </w:rPr>
        <w:t>谈判文件</w:t>
      </w: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宋体" w:hAnsi="宋体"/>
          <w:b/>
          <w:sz w:val="44"/>
        </w:rPr>
      </w:pPr>
    </w:p>
    <w:p>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山东钢铁集团日照有限公司</w:t>
      </w:r>
    </w:p>
    <w:p>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 xml:space="preserve">2025年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6</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p>
    <w:p>
      <w:pPr>
        <w:spacing w:line="560" w:lineRule="exact"/>
        <w:jc w:val="center"/>
        <w:rPr>
          <w:rFonts w:hint="eastAsia" w:ascii="仿宋_GB2312" w:hAnsi="宋体" w:eastAsia="仿宋_GB2312"/>
          <w:sz w:val="32"/>
          <w:szCs w:val="32"/>
        </w:rPr>
      </w:pPr>
    </w:p>
    <w:p>
      <w:pPr>
        <w:pStyle w:val="12"/>
        <w:tabs>
          <w:tab w:val="right" w:leader="dot" w:pos="8787"/>
        </w:tabs>
        <w:spacing w:line="560" w:lineRule="exact"/>
        <w:jc w:val="center"/>
        <w:rPr>
          <w:rFonts w:hint="eastAsia" w:ascii="黑体" w:hAnsi="黑体" w:eastAsia="黑体" w:cs="黑体"/>
          <w:sz w:val="28"/>
          <w:szCs w:val="28"/>
        </w:rPr>
        <w:sectPr>
          <w:headerReference r:id="rId3" w:type="default"/>
          <w:footerReference r:id="rId4" w:type="default"/>
          <w:pgSz w:w="11907" w:h="16840"/>
          <w:pgMar w:top="1985" w:right="1474" w:bottom="1985" w:left="1588" w:header="851" w:footer="1077" w:gutter="0"/>
          <w:cols w:space="720" w:num="1"/>
          <w:docGrid w:linePitch="326" w:charSpace="0"/>
        </w:sectPr>
      </w:pPr>
      <w:bookmarkStart w:id="0" w:name="_Toc20425"/>
      <w:bookmarkStart w:id="1" w:name="_Toc25722"/>
      <w:bookmarkStart w:id="2" w:name="_Toc14858"/>
      <w:bookmarkStart w:id="3" w:name="_Toc16063"/>
    </w:p>
    <w:p>
      <w:pPr>
        <w:pStyle w:val="15"/>
        <w:rPr>
          <w:rFonts w:hint="eastAsia"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谈判响应供应商须知</w:t>
      </w:r>
      <w:bookmarkEnd w:id="0"/>
      <w:bookmarkEnd w:id="1"/>
      <w:bookmarkEnd w:id="2"/>
      <w:bookmarkEnd w:id="3"/>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一、总则</w:t>
      </w:r>
    </w:p>
    <w:p>
      <w:pPr>
        <w:spacing w:line="560" w:lineRule="exact"/>
        <w:ind w:firstLine="504" w:firstLineChars="180"/>
        <w:rPr>
          <w:rFonts w:hint="eastAsia" w:ascii="仿宋_GB2312" w:hAnsi="仿宋" w:eastAsia="仿宋_GB2312"/>
          <w:sz w:val="28"/>
          <w:szCs w:val="32"/>
        </w:rPr>
      </w:pPr>
      <w:r>
        <w:rPr>
          <w:rFonts w:hint="eastAsia" w:ascii="仿宋_GB2312" w:hAnsi="仿宋" w:eastAsia="仿宋_GB2312"/>
          <w:sz w:val="28"/>
          <w:szCs w:val="32"/>
        </w:rPr>
        <w:t>（一）本谈判文件仅适用于我公司组织的本次谈判活动。</w:t>
      </w:r>
    </w:p>
    <w:p>
      <w:pPr>
        <w:spacing w:line="560" w:lineRule="exact"/>
        <w:ind w:firstLine="504" w:firstLineChars="180"/>
        <w:rPr>
          <w:rFonts w:hint="eastAsia" w:ascii="仿宋_GB2312" w:hAnsi="仿宋" w:eastAsia="仿宋_GB2312"/>
          <w:sz w:val="28"/>
          <w:szCs w:val="32"/>
        </w:rPr>
      </w:pPr>
      <w:r>
        <w:rPr>
          <w:rFonts w:hint="eastAsia" w:ascii="仿宋_GB2312" w:hAnsi="仿宋" w:eastAsia="仿宋_GB2312"/>
          <w:sz w:val="28"/>
          <w:szCs w:val="32"/>
        </w:rPr>
        <w:t>（二）无论谈判结果如何，谈判响应供应商自行承担所有参与谈判的费用。</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（三）本次谈判活动及其产生的合同受中国法律的约束和保护。</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（四）谈判响应供应商一旦参加谈判，即被视为接受本谈判文件中所有的条款和规定。</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二、谈判要求</w:t>
      </w:r>
    </w:p>
    <w:p>
      <w:pPr>
        <w:spacing w:line="560" w:lineRule="exact"/>
        <w:ind w:firstLine="504" w:firstLineChars="180"/>
        <w:rPr>
          <w:rFonts w:hint="eastAsia" w:ascii="仿宋_GB2312" w:hAnsi="仿宋" w:eastAsia="仿宋_GB2312"/>
          <w:sz w:val="28"/>
          <w:szCs w:val="32"/>
        </w:rPr>
      </w:pPr>
      <w:r>
        <w:rPr>
          <w:rFonts w:hint="eastAsia" w:ascii="仿宋_GB2312" w:hAnsi="仿宋" w:eastAsia="仿宋_GB2312"/>
          <w:sz w:val="28"/>
          <w:szCs w:val="32"/>
        </w:rPr>
        <w:t>（一）谈判响应供应商应认真阅读本文件的全部内容，并在递交的谈判响应文件中作出实质性响应。如果谈判响应供应商没有按照谈判文件要求提交全部资料，或者谈判时没有对文件在各方面都作出实质性响应，后果由谈判响应供应商承担。</w:t>
      </w:r>
    </w:p>
    <w:p>
      <w:pPr>
        <w:spacing w:line="560" w:lineRule="exact"/>
        <w:ind w:firstLine="504" w:firstLineChars="180"/>
        <w:rPr>
          <w:rFonts w:hint="eastAsia" w:ascii="仿宋_GB2312" w:hAnsi="仿宋" w:eastAsia="仿宋_GB2312"/>
          <w:sz w:val="28"/>
          <w:szCs w:val="32"/>
        </w:rPr>
      </w:pPr>
      <w:r>
        <w:rPr>
          <w:rFonts w:hint="eastAsia" w:ascii="仿宋_GB2312" w:hAnsi="仿宋" w:eastAsia="仿宋_GB2312"/>
          <w:sz w:val="28"/>
          <w:szCs w:val="32"/>
        </w:rPr>
        <w:t>（二）谈判开始前的任何时候，无论出于何种原因，我公司均可对谈判文件进行修改，文件的修改内容在山东钢铁集团招标采购与拍卖信息管理平台发布，澄清文件与谈判文件一样，对谈判响应供应商具有同等约束力。</w:t>
      </w:r>
    </w:p>
    <w:p>
      <w:pPr>
        <w:spacing w:line="560" w:lineRule="exact"/>
        <w:ind w:firstLine="504" w:firstLineChars="180"/>
        <w:rPr>
          <w:rFonts w:hint="eastAsia" w:ascii="仿宋_GB2312" w:hAnsi="仿宋" w:eastAsia="仿宋_GB2312"/>
          <w:sz w:val="28"/>
          <w:szCs w:val="32"/>
        </w:rPr>
      </w:pPr>
      <w:r>
        <w:rPr>
          <w:rFonts w:hint="eastAsia" w:ascii="仿宋_GB2312" w:hAnsi="仿宋" w:eastAsia="仿宋_GB2312"/>
          <w:sz w:val="28"/>
          <w:szCs w:val="32"/>
        </w:rPr>
        <w:t>（三）为使谈判响应供应商有足够的时间按谈判文件的补充要求修正谈判响应文件，我公司有权决定推迟谈判日期。</w:t>
      </w:r>
    </w:p>
    <w:p>
      <w:pPr>
        <w:tabs>
          <w:tab w:val="left" w:pos="360"/>
        </w:tabs>
        <w:spacing w:line="560" w:lineRule="exact"/>
        <w:ind w:firstLine="537" w:firstLineChars="192"/>
        <w:rPr>
          <w:rFonts w:hint="eastAsia" w:ascii="仿宋_GB2312" w:hAnsi="仿宋" w:eastAsia="仿宋_GB2312"/>
          <w:sz w:val="28"/>
          <w:szCs w:val="32"/>
        </w:rPr>
      </w:pPr>
      <w:r>
        <w:rPr>
          <w:rFonts w:hint="eastAsia" w:ascii="仿宋_GB2312" w:hAnsi="仿宋" w:eastAsia="仿宋_GB2312"/>
          <w:sz w:val="28"/>
          <w:szCs w:val="32"/>
        </w:rPr>
        <w:t>（四）谈判响应供应商无经营异常情况及未被列入严重违法失信企业名单证明资料。谈判响应供应商自行到《国家企业信用信息公示系统》查询，并将证明资料完整页面截屏附在谈判响应文件内。</w:t>
      </w:r>
    </w:p>
    <w:p>
      <w:pPr>
        <w:tabs>
          <w:tab w:val="left" w:pos="360"/>
        </w:tabs>
        <w:spacing w:line="560" w:lineRule="exact"/>
        <w:ind w:firstLine="537" w:firstLineChars="192"/>
        <w:rPr>
          <w:rFonts w:hint="eastAsia" w:ascii="仿宋_GB2312" w:hAnsi="仿宋" w:eastAsia="仿宋_GB2312"/>
          <w:bCs/>
          <w:color w:val="FF0000"/>
          <w:kern w:val="11"/>
          <w:sz w:val="28"/>
          <w:szCs w:val="32"/>
        </w:rPr>
      </w:pPr>
      <w:r>
        <w:rPr>
          <w:rFonts w:hint="eastAsia" w:ascii="仿宋_GB2312" w:hAnsi="仿宋" w:eastAsia="仿宋_GB2312"/>
          <w:sz w:val="28"/>
          <w:szCs w:val="32"/>
        </w:rPr>
        <w:t>（五）组成部分中如谈判文件已给定格式的，谈判响应供应商应按给定格式提供，不得更改，确需要更改时，须另行制作偏离说明，并作为谈判响应文件的组成部分。</w:t>
      </w:r>
    </w:p>
    <w:p>
      <w:pPr>
        <w:tabs>
          <w:tab w:val="left" w:pos="360"/>
        </w:tabs>
        <w:spacing w:line="560" w:lineRule="exact"/>
        <w:ind w:firstLine="537" w:firstLineChars="192"/>
        <w:rPr>
          <w:rFonts w:hint="eastAsia" w:ascii="仿宋_GB2312" w:hAnsi="仿宋" w:eastAsia="仿宋_GB2312"/>
          <w:bCs/>
          <w:color w:val="FF0000"/>
          <w:kern w:val="11"/>
          <w:sz w:val="28"/>
          <w:szCs w:val="32"/>
        </w:rPr>
      </w:pPr>
      <w:r>
        <w:rPr>
          <w:rFonts w:hint="eastAsia" w:ascii="仿宋_GB2312" w:hAnsi="仿宋" w:eastAsia="仿宋_GB2312"/>
          <w:sz w:val="28"/>
          <w:szCs w:val="32"/>
        </w:rPr>
        <w:t>（六）谈判响应文件不应涂改、增删或潦草，如有必须修改时，修改处必须有法定代表人或授权代理人的签字。</w:t>
      </w:r>
    </w:p>
    <w:p>
      <w:pPr>
        <w:tabs>
          <w:tab w:val="left" w:pos="360"/>
        </w:tabs>
        <w:spacing w:line="560" w:lineRule="exact"/>
        <w:ind w:firstLine="537" w:firstLineChars="192"/>
        <w:rPr>
          <w:rFonts w:hint="eastAsia" w:ascii="仿宋_GB2312" w:hAnsi="仿宋" w:eastAsia="仿宋_GB2312"/>
          <w:sz w:val="28"/>
          <w:szCs w:val="32"/>
        </w:rPr>
      </w:pPr>
      <w:r>
        <w:rPr>
          <w:rFonts w:hint="eastAsia" w:ascii="仿宋_GB2312" w:hAnsi="仿宋" w:eastAsia="仿宋_GB2312"/>
          <w:sz w:val="28"/>
          <w:szCs w:val="32"/>
        </w:rPr>
        <w:t>（七）一经谈判开始，无论谈判响应供应商是否成交，谈判响应文件一概不退还。</w:t>
      </w:r>
    </w:p>
    <w:p>
      <w:pPr>
        <w:spacing w:line="560" w:lineRule="exact"/>
        <w:ind w:firstLine="560" w:firstLineChars="200"/>
        <w:rPr>
          <w:rFonts w:ascii="黑体" w:hAnsi="黑体" w:eastAsia="黑体"/>
          <w:sz w:val="28"/>
          <w:szCs w:val="32"/>
        </w:rPr>
      </w:pPr>
      <w:r>
        <w:rPr>
          <w:rFonts w:hint="eastAsia" w:ascii="黑体" w:hAnsi="黑体" w:eastAsia="黑体"/>
          <w:sz w:val="28"/>
          <w:szCs w:val="32"/>
        </w:rPr>
        <w:t>三、谈判</w:t>
      </w:r>
    </w:p>
    <w:p>
      <w:pPr>
        <w:tabs>
          <w:tab w:val="left" w:pos="360"/>
        </w:tabs>
        <w:spacing w:line="560" w:lineRule="exact"/>
        <w:ind w:firstLine="537" w:firstLineChars="192"/>
        <w:rPr>
          <w:rFonts w:hint="eastAsia" w:ascii="仿宋_GB2312" w:hAnsi="仿宋" w:eastAsia="仿宋_GB2312"/>
          <w:sz w:val="28"/>
          <w:szCs w:val="32"/>
        </w:rPr>
      </w:pPr>
      <w:r>
        <w:rPr>
          <w:rFonts w:hint="eastAsia" w:ascii="仿宋_GB2312" w:hAnsi="仿宋" w:eastAsia="仿宋_GB2312"/>
          <w:sz w:val="28"/>
          <w:szCs w:val="32"/>
        </w:rPr>
        <w:t>（一）属于下列情形之一的，谈判响应文件将予以拒收：</w:t>
      </w:r>
    </w:p>
    <w:p>
      <w:pPr>
        <w:spacing w:line="560" w:lineRule="exact"/>
        <w:ind w:firstLine="448" w:firstLineChars="1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（1）谈判响应文件未按规定盖章的，如现场开封未按规定封装的；</w:t>
      </w:r>
    </w:p>
    <w:p>
      <w:pPr>
        <w:spacing w:line="560" w:lineRule="exact"/>
        <w:ind w:firstLine="448" w:firstLineChars="160"/>
        <w:rPr>
          <w:rFonts w:hint="eastAsia" w:ascii="仿宋_GB2312" w:hAnsi="仿宋" w:eastAsia="仿宋_GB2312"/>
          <w:sz w:val="28"/>
          <w:szCs w:val="32"/>
        </w:rPr>
      </w:pPr>
      <w:r>
        <w:rPr>
          <w:rFonts w:hint="eastAsia" w:ascii="仿宋_GB2312" w:hAnsi="仿宋_GB2312" w:eastAsia="仿宋_GB2312" w:cs="仿宋_GB2312"/>
          <w:sz w:val="28"/>
          <w:szCs w:val="28"/>
        </w:rPr>
        <w:t>（2）谈判响应文件未按规定时间送达的。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（二）出现下列情形之一的谈判响应文件按照无效处理：</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（1）未按谈判邀请规定的数额和交纳谈判响应保证金的；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（2）法定代表人和法人授权代表均未参加谈判；</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（3）不具备谈判文件中规定资格条件的；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（4）未实质性响应谈判文件要求的；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（5）不符合法律、法规和谈判文件规定的其他实质性要求的。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（6）被采购人列入《异常合作名录》的；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（7）法律法规或谈判须知规定的其他情形</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（三）出现下列情形之一的谈判终止：</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（1）出现影响采购公正的违法、违规行为的；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（2）供应商的最终报价谈判小组认定明显不合理的；</w:t>
      </w:r>
    </w:p>
    <w:p>
      <w:pPr>
        <w:spacing w:line="560" w:lineRule="exact"/>
        <w:ind w:firstLine="448" w:firstLineChars="160"/>
        <w:rPr>
          <w:rFonts w:hint="eastAsia" w:ascii="仿宋_GB2312" w:hAnsi="仿宋" w:eastAsia="仿宋_GB2312"/>
          <w:sz w:val="28"/>
          <w:szCs w:val="32"/>
        </w:rPr>
      </w:pPr>
      <w:r>
        <w:rPr>
          <w:rFonts w:hint="eastAsia" w:ascii="仿宋_GB2312" w:hAnsi="仿宋" w:eastAsia="仿宋_GB2312"/>
          <w:sz w:val="28"/>
          <w:szCs w:val="32"/>
        </w:rPr>
        <w:t>（3）因重大变故，采购任务取消的；</w:t>
      </w:r>
    </w:p>
    <w:p>
      <w:pPr>
        <w:spacing w:line="560" w:lineRule="exact"/>
        <w:ind w:firstLine="560" w:firstLineChars="200"/>
        <w:rPr>
          <w:rFonts w:hint="eastAsia" w:ascii="仿宋_GB2312" w:eastAsia="仿宋_GB2312"/>
          <w:sz w:val="28"/>
          <w:szCs w:val="28"/>
        </w:rPr>
      </w:pPr>
      <w:r>
        <w:rPr>
          <w:rFonts w:hint="eastAsia" w:ascii="仿宋_GB2312" w:hAnsi="仿宋" w:eastAsia="仿宋_GB2312"/>
          <w:sz w:val="28"/>
          <w:szCs w:val="32"/>
        </w:rPr>
        <w:t>（四）</w:t>
      </w:r>
      <w:r>
        <w:rPr>
          <w:rFonts w:hint="eastAsia" w:ascii="仿宋_GB2312" w:eastAsia="仿宋_GB2312"/>
          <w:sz w:val="28"/>
          <w:szCs w:val="28"/>
        </w:rPr>
        <w:t>谈判委员会发现谈判文件存在歧义、重大缺陷（包括重要技术参数、技术标准变化等）导致谈判相关工作无法进行，或者谈判文件内容违反国家有关强制性规定的，谈判委员会有权停止谈判相关工作作废谈判处理。</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（五）</w:t>
      </w:r>
      <w:r>
        <w:rPr>
          <w:rFonts w:hint="eastAsia" w:ascii="仿宋_GB2312" w:hAnsi="仿宋" w:eastAsia="仿宋_GB2312"/>
          <w:sz w:val="28"/>
          <w:szCs w:val="32"/>
        </w:rPr>
        <w:t>采购人因生产经营发生重大变化暂时不能确定或所有谈判响应供应商提供的货物和服务不能满足需求或与采购人预期差距较大时，采购人人有权停止评、定标工作。</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四、谈判响应供应商须知：</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1.具有独立承担民事责任的能力；</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2.具有良好的商业信誉和健全的财务会计制度；</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3.具有履行合同所必需的设备或专业技术能力；</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4.有依法缴纳税收和社会保障资金的良好记录；</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5.参加采购活动前三年内，在经营活动中没有重大违法记录；</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6.谈判响应供应商无经营异常情况及未被列入严重违法失信企业名单。</w:t>
      </w:r>
    </w:p>
    <w:p>
      <w:pPr>
        <w:autoSpaceDE w:val="0"/>
        <w:autoSpaceDN w:val="0"/>
        <w:adjustRightInd w:val="0"/>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7.法律、行政法规规定的其他条件。</w:t>
      </w:r>
    </w:p>
    <w:p>
      <w:pPr>
        <w:pStyle w:val="36"/>
        <w:adjustRightInd w:val="0"/>
        <w:snapToGrid w:val="0"/>
        <w:spacing w:line="560" w:lineRule="exact"/>
        <w:ind w:firstLine="560" w:firstLineChars="200"/>
        <w:rPr>
          <w:rFonts w:hint="eastAsia" w:ascii="黑体" w:hAnsi="黑体" w:eastAsia="黑体" w:cs="黑体"/>
          <w:bCs/>
          <w:kern w:val="2"/>
          <w:sz w:val="28"/>
          <w:szCs w:val="28"/>
          <w:highlight w:val="yellow"/>
        </w:rPr>
      </w:pPr>
      <w:r>
        <w:rPr>
          <w:rFonts w:hint="eastAsia" w:ascii="黑体" w:hAnsi="黑体" w:eastAsia="黑体"/>
          <w:sz w:val="28"/>
          <w:szCs w:val="28"/>
        </w:rPr>
        <w:t>五、</w:t>
      </w:r>
      <w:r>
        <w:rPr>
          <w:rFonts w:hint="eastAsia" w:ascii="黑体" w:hAnsi="黑体" w:eastAsia="黑体" w:cs="黑体"/>
          <w:bCs/>
          <w:kern w:val="2"/>
          <w:sz w:val="28"/>
          <w:szCs w:val="28"/>
        </w:rPr>
        <w:t xml:space="preserve">公告及报名时间 </w:t>
      </w:r>
    </w:p>
    <w:p>
      <w:pPr>
        <w:pStyle w:val="36"/>
        <w:adjustRightInd w:val="0"/>
        <w:snapToGrid w:val="0"/>
        <w:spacing w:line="56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以系统公示时间为准</w:t>
      </w:r>
    </w:p>
    <w:p>
      <w:pPr>
        <w:pStyle w:val="36"/>
        <w:spacing w:line="560" w:lineRule="exact"/>
        <w:ind w:firstLine="560" w:firstLineChars="200"/>
        <w:rPr>
          <w:rFonts w:ascii="黑体" w:hAnsi="黑体" w:eastAsia="黑体"/>
          <w:sz w:val="28"/>
          <w:szCs w:val="28"/>
        </w:rPr>
      </w:pPr>
      <w:r>
        <w:rPr>
          <w:rFonts w:hint="eastAsia" w:ascii="黑体" w:hAnsi="黑体" w:eastAsia="黑体" w:cs="黑体"/>
          <w:bCs/>
          <w:sz w:val="28"/>
          <w:szCs w:val="28"/>
        </w:rPr>
        <w:t>六、</w:t>
      </w:r>
      <w:r>
        <w:rPr>
          <w:rFonts w:hint="eastAsia" w:ascii="黑体" w:hAnsi="黑体" w:eastAsia="黑体"/>
          <w:sz w:val="28"/>
          <w:szCs w:val="28"/>
        </w:rPr>
        <w:t>谈判响应文件递交，谈判截止时间（开封时间）及开封地点</w:t>
      </w:r>
    </w:p>
    <w:p>
      <w:pPr>
        <w:pStyle w:val="36"/>
        <w:spacing w:line="560" w:lineRule="exact"/>
        <w:ind w:firstLine="560" w:firstLineChars="200"/>
        <w:rPr>
          <w:rFonts w:hint="eastAsia" w:ascii="仿宋_GB2312" w:eastAsia="仿宋_GB2312"/>
          <w:kern w:val="2"/>
          <w:sz w:val="28"/>
          <w:szCs w:val="28"/>
        </w:rPr>
      </w:pPr>
      <w:r>
        <w:rPr>
          <w:rFonts w:hint="eastAsia" w:ascii="仿宋_GB2312" w:eastAsia="仿宋_GB2312"/>
          <w:kern w:val="2"/>
          <w:sz w:val="28"/>
          <w:szCs w:val="28"/>
        </w:rPr>
        <w:t>1.谈判响应文件递交的截止时间（称谈判截止时间、开封时间）：</w:t>
      </w:r>
    </w:p>
    <w:p>
      <w:pPr>
        <w:pStyle w:val="36"/>
        <w:spacing w:line="560" w:lineRule="exact"/>
        <w:ind w:firstLine="560" w:firstLineChars="200"/>
        <w:rPr>
          <w:rFonts w:hint="eastAsia" w:ascii="仿宋_GB2312" w:eastAsia="仿宋_GB2312"/>
          <w:kern w:val="2"/>
          <w:sz w:val="28"/>
          <w:szCs w:val="28"/>
        </w:rPr>
      </w:pPr>
      <w:r>
        <w:rPr>
          <w:rFonts w:hint="eastAsia" w:ascii="仿宋_GB2312" w:hAnsi="仿宋_GB2312" w:eastAsia="仿宋_GB2312" w:cs="仿宋_GB2312"/>
          <w:kern w:val="2"/>
          <w:sz w:val="28"/>
          <w:szCs w:val="28"/>
        </w:rPr>
        <w:t>以系统公示时间为准</w:t>
      </w:r>
      <w:r>
        <w:rPr>
          <w:rFonts w:hint="eastAsia" w:ascii="仿宋_GB2312" w:eastAsia="仿宋_GB2312"/>
          <w:kern w:val="2"/>
          <w:sz w:val="28"/>
          <w:szCs w:val="28"/>
        </w:rPr>
        <w:t>，谈判响应供应商应在截止时间前递交谈判响应文件。</w:t>
      </w:r>
    </w:p>
    <w:p>
      <w:pPr>
        <w:spacing w:line="560" w:lineRule="exact"/>
        <w:ind w:firstLine="560" w:firstLineChars="200"/>
        <w:rPr>
          <w:rFonts w:hint="eastAsia" w:ascii="仿宋_GB2312" w:eastAsia="仿宋_GB2312"/>
          <w:b/>
          <w:bCs/>
          <w:color w:val="FF0000"/>
          <w:sz w:val="28"/>
          <w:szCs w:val="28"/>
        </w:rPr>
      </w:pPr>
      <w:r>
        <w:rPr>
          <w:rFonts w:hint="eastAsia" w:ascii="仿宋_GB2312" w:eastAsia="仿宋_GB2312"/>
          <w:sz w:val="28"/>
          <w:szCs w:val="28"/>
        </w:rPr>
        <w:t>2.文件递交及开封方式：</w:t>
      </w:r>
    </w:p>
    <w:p>
      <w:pPr>
        <w:pStyle w:val="36"/>
        <w:spacing w:line="560" w:lineRule="exact"/>
        <w:ind w:firstLine="560" w:firstLineChars="200"/>
        <w:rPr>
          <w:rFonts w:hint="eastAsia" w:ascii="仿宋_GB2312" w:eastAsia="仿宋_GB2312"/>
          <w:kern w:val="2"/>
          <w:sz w:val="28"/>
          <w:szCs w:val="28"/>
        </w:rPr>
      </w:pPr>
      <w:bookmarkStart w:id="4" w:name="_Hlk36576904"/>
      <w:r>
        <w:rPr>
          <w:rFonts w:hint="eastAsia" w:ascii="仿宋_GB2312" w:eastAsia="仿宋_GB2312"/>
          <w:kern w:val="2"/>
          <w:sz w:val="28"/>
          <w:szCs w:val="28"/>
        </w:rPr>
        <w:t>电子投递：</w:t>
      </w:r>
      <w:bookmarkStart w:id="5" w:name="_Hlk36574947"/>
      <w:r>
        <w:rPr>
          <w:rFonts w:hint="eastAsia" w:ascii="仿宋_GB2312" w:eastAsia="仿宋_GB2312"/>
          <w:kern w:val="2"/>
          <w:sz w:val="28"/>
          <w:szCs w:val="28"/>
        </w:rPr>
        <w:t>通过山东钢铁集团有限公司采购与拍卖信息管理平台（http://bams.shansteelgroup.com）递交电子谈判响应文件</w:t>
      </w:r>
      <w:bookmarkEnd w:id="5"/>
      <w:r>
        <w:rPr>
          <w:rFonts w:hint="eastAsia" w:ascii="仿宋_GB2312" w:eastAsia="仿宋_GB2312"/>
          <w:kern w:val="2"/>
          <w:sz w:val="28"/>
          <w:szCs w:val="28"/>
        </w:rPr>
        <w:t>，可参照平台首页《使用帮助》进行操作，如遇网站技术问题请提前与电子平台联系0531-67606687或0633-7920020。</w:t>
      </w:r>
    </w:p>
    <w:p>
      <w:pPr>
        <w:pStyle w:val="36"/>
        <w:spacing w:line="560" w:lineRule="exact"/>
        <w:ind w:firstLine="560" w:firstLineChars="200"/>
        <w:rPr>
          <w:rFonts w:hint="eastAsia" w:ascii="仿宋_GB2312" w:eastAsia="仿宋_GB2312"/>
          <w:kern w:val="2"/>
          <w:sz w:val="28"/>
          <w:szCs w:val="28"/>
        </w:rPr>
      </w:pPr>
      <w:r>
        <w:rPr>
          <w:rFonts w:hint="eastAsia" w:ascii="仿宋_GB2312" w:eastAsia="仿宋_GB2312"/>
          <w:kern w:val="2"/>
          <w:sz w:val="28"/>
          <w:szCs w:val="28"/>
        </w:rPr>
        <w:t>供应商因故障未能电子投递成功的，视为放弃本次谈判。因网络等特殊情况不能电子投递的，经采购人同意可以在截止时间前发送至采购人指定的邮箱。</w:t>
      </w:r>
    </w:p>
    <w:bookmarkEnd w:id="4"/>
    <w:p>
      <w:pPr>
        <w:widowControl/>
        <w:spacing w:line="560" w:lineRule="exact"/>
        <w:ind w:firstLine="560" w:firstLineChars="200"/>
        <w:rPr>
          <w:rFonts w:hint="eastAsia" w:ascii="仿宋_GB2312" w:eastAsia="仿宋_GB2312"/>
          <w:color w:val="FF0000"/>
          <w:sz w:val="28"/>
          <w:szCs w:val="28"/>
        </w:rPr>
      </w:pPr>
      <w:r>
        <w:rPr>
          <w:rFonts w:hint="eastAsia" w:ascii="仿宋_GB2312" w:eastAsia="仿宋_GB2312"/>
          <w:color w:val="FF0000"/>
          <w:sz w:val="28"/>
          <w:szCs w:val="28"/>
        </w:rPr>
        <w:t>投标人需到招标人现场（山东钢铁集团日照有限公司办公楼-餐饮中心A区二楼205室）等待澄清答疑。</w:t>
      </w:r>
    </w:p>
    <w:p>
      <w:pPr>
        <w:autoSpaceDE w:val="0"/>
        <w:autoSpaceDN w:val="0"/>
        <w:adjustRightInd w:val="0"/>
        <w:snapToGrid w:val="0"/>
        <w:spacing w:line="56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七、报名及谈判文件的获取</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本次谈判</w:t>
      </w:r>
      <w:r>
        <w:rPr>
          <w:rFonts w:hint="eastAsia" w:ascii="仿宋_GB2312" w:hAnsi="仿宋_GB2312" w:eastAsia="仿宋_GB2312" w:cs="仿宋_GB2312"/>
          <w:color w:val="000000"/>
          <w:sz w:val="28"/>
          <w:szCs w:val="28"/>
        </w:rPr>
        <w:t>特定供应商如决定参与谈判，</w:t>
      </w:r>
      <w:r>
        <w:rPr>
          <w:rFonts w:hint="eastAsia" w:ascii="仿宋_GB2312" w:hAnsi="仿宋_GB2312" w:eastAsia="仿宋_GB2312" w:cs="仿宋_GB2312"/>
          <w:sz w:val="28"/>
          <w:szCs w:val="28"/>
        </w:rPr>
        <w:t>交纳谈判书费后，财务谈判书费负责人在2个工作日内确认,确认后供应商可直接用注册的账户和密码从网上</w:t>
      </w:r>
      <w:r>
        <w:rPr>
          <w:rFonts w:hint="eastAsia" w:ascii="仿宋_GB2312" w:eastAsia="仿宋_GB2312"/>
          <w:sz w:val="28"/>
          <w:szCs w:val="28"/>
        </w:rPr>
        <w:t>（http://bams.shansteelgroup.com）</w:t>
      </w:r>
      <w:r>
        <w:rPr>
          <w:rFonts w:hint="eastAsia" w:ascii="仿宋_GB2312" w:hAnsi="仿宋_GB2312" w:eastAsia="仿宋_GB2312" w:cs="仿宋_GB2312"/>
          <w:sz w:val="28"/>
          <w:szCs w:val="28"/>
        </w:rPr>
        <w:t>下载谈判文件，期间如有疑问请咨询财务0633-7920919</w:t>
      </w:r>
      <w:r>
        <w:rPr>
          <w:rFonts w:hint="eastAsia" w:ascii="仿宋_GB2312" w:hAnsi="仿宋_GB2312" w:eastAsia="仿宋_GB2312" w:cs="仿宋_GB2312"/>
          <w:sz w:val="28"/>
          <w:szCs w:val="28"/>
          <w:lang w:val="zh-CN"/>
        </w:rPr>
        <w:t>。</w:t>
      </w:r>
    </w:p>
    <w:p>
      <w:pPr>
        <w:autoSpaceDE w:val="0"/>
        <w:autoSpaceDN w:val="0"/>
        <w:adjustRightInd w:val="0"/>
        <w:snapToGrid w:val="0"/>
        <w:spacing w:line="56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八、谈判书费和谈判响应保证金</w:t>
      </w:r>
    </w:p>
    <w:p>
      <w:pPr>
        <w:adjustRightInd w:val="0"/>
        <w:snapToGrid w:val="0"/>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1.本项目收取谈判书费</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sz w:val="28"/>
          <w:szCs w:val="28"/>
        </w:rPr>
        <w:t>元人民币。</w:t>
      </w:r>
    </w:p>
    <w:p>
      <w:pPr>
        <w:adjustRightInd w:val="0"/>
        <w:snapToGrid w:val="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2．谈判响应供应商须交纳谈判响应保证金</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零   </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元整)方可参加谈判，否则将予以拒绝。</w:t>
      </w:r>
    </w:p>
    <w:p>
      <w:pPr>
        <w:spacing w:line="560" w:lineRule="exact"/>
        <w:ind w:firstLine="560" w:firstLineChars="200"/>
        <w:rPr>
          <w:rFonts w:hint="eastAsia" w:ascii="黑体" w:hAnsi="黑体" w:eastAsia="黑体"/>
          <w:sz w:val="28"/>
          <w:szCs w:val="32"/>
        </w:rPr>
      </w:pPr>
      <w:r>
        <w:rPr>
          <w:rFonts w:hint="eastAsia" w:ascii="黑体" w:hAnsi="黑体" w:eastAsia="黑体" w:cs="黑体"/>
          <w:bCs/>
          <w:sz w:val="28"/>
          <w:szCs w:val="28"/>
        </w:rPr>
        <w:t>交款账户信息</w:t>
      </w:r>
    </w:p>
    <w:p>
      <w:pPr>
        <w:spacing w:line="560" w:lineRule="exact"/>
        <w:ind w:firstLine="560" w:firstLineChars="200"/>
        <w:rPr>
          <w:rFonts w:ascii="仿宋_GB2312" w:eastAsia="仿宋_GB2312" w:cs="Calibri"/>
          <w:sz w:val="28"/>
          <w:szCs w:val="28"/>
        </w:rPr>
      </w:pPr>
      <w:r>
        <w:rPr>
          <w:rFonts w:hint="eastAsia" w:ascii="仿宋_GB2312" w:eastAsia="仿宋_GB2312" w:cs="Calibri"/>
          <w:sz w:val="28"/>
          <w:szCs w:val="28"/>
        </w:rPr>
        <w:t>户名：山东钢铁集团日照有限公司</w:t>
      </w:r>
    </w:p>
    <w:p>
      <w:pPr>
        <w:spacing w:line="560" w:lineRule="exact"/>
        <w:ind w:firstLine="560" w:firstLineChars="200"/>
        <w:rPr>
          <w:rFonts w:hint="eastAsia" w:ascii="仿宋_GB2312" w:eastAsia="仿宋_GB2312" w:cs="Calibri"/>
          <w:sz w:val="28"/>
          <w:szCs w:val="28"/>
        </w:rPr>
      </w:pPr>
      <w:r>
        <w:rPr>
          <w:rFonts w:hint="eastAsia" w:ascii="仿宋_GB2312" w:eastAsia="仿宋_GB2312" w:cs="Calibri"/>
          <w:sz w:val="28"/>
          <w:szCs w:val="28"/>
        </w:rPr>
        <w:t>账号：406899991010003032368</w:t>
      </w:r>
    </w:p>
    <w:p>
      <w:pPr>
        <w:spacing w:line="560" w:lineRule="exact"/>
        <w:ind w:firstLine="560" w:firstLineChars="200"/>
        <w:rPr>
          <w:rFonts w:hint="eastAsia" w:ascii="仿宋_GB2312" w:eastAsia="仿宋_GB2312" w:cs="Calibri"/>
          <w:sz w:val="28"/>
          <w:szCs w:val="28"/>
        </w:rPr>
      </w:pPr>
      <w:r>
        <w:rPr>
          <w:rFonts w:hint="eastAsia" w:ascii="仿宋_GB2312" w:eastAsia="仿宋_GB2312" w:cs="Calibri"/>
          <w:sz w:val="28"/>
          <w:szCs w:val="28"/>
        </w:rPr>
        <w:t>开户行：交通银行股份有限公司日照分行</w:t>
      </w:r>
    </w:p>
    <w:p>
      <w:pPr>
        <w:spacing w:line="560" w:lineRule="exact"/>
        <w:ind w:firstLine="560" w:firstLineChars="200"/>
        <w:rPr>
          <w:rFonts w:hint="eastAsia" w:ascii="仿宋_GB2312" w:eastAsia="仿宋_GB2312" w:cs="Calibri"/>
          <w:sz w:val="28"/>
          <w:szCs w:val="28"/>
        </w:rPr>
      </w:pPr>
      <w:r>
        <w:rPr>
          <w:rFonts w:hint="eastAsia" w:ascii="仿宋_GB2312" w:eastAsia="仿宋_GB2312" w:cs="Calibri"/>
          <w:sz w:val="28"/>
          <w:szCs w:val="28"/>
        </w:rPr>
        <w:t>行号：301473200013</w:t>
      </w:r>
    </w:p>
    <w:p>
      <w:pPr>
        <w:spacing w:line="580" w:lineRule="exact"/>
        <w:ind w:right="-6" w:firstLine="555"/>
        <w:rPr>
          <w:rFonts w:hint="eastAsia" w:ascii="仿宋_GB2312" w:eastAsia="仿宋_GB2312" w:cs="Calibri"/>
          <w:b/>
          <w:bCs/>
          <w:sz w:val="28"/>
          <w:szCs w:val="28"/>
        </w:rPr>
      </w:pPr>
      <w:r>
        <w:rPr>
          <w:rFonts w:hint="eastAsia" w:ascii="仿宋_GB2312" w:eastAsia="仿宋_GB2312" w:cs="Calibri"/>
          <w:b/>
          <w:bCs/>
          <w:sz w:val="28"/>
          <w:szCs w:val="28"/>
        </w:rPr>
        <w:t>注：</w:t>
      </w:r>
    </w:p>
    <w:p>
      <w:pPr>
        <w:spacing w:line="560" w:lineRule="exact"/>
        <w:ind w:firstLine="560" w:firstLineChars="200"/>
        <w:rPr>
          <w:rFonts w:hint="eastAsia" w:ascii="仿宋_GB2312" w:eastAsia="仿宋_GB2312" w:cs="Calibri"/>
          <w:sz w:val="28"/>
          <w:szCs w:val="28"/>
          <w:highlight w:val="none"/>
        </w:rPr>
      </w:pPr>
      <w:r>
        <w:rPr>
          <w:rFonts w:hint="eastAsia" w:ascii="仿宋_GB2312" w:eastAsia="仿宋_GB2312" w:cs="Calibri"/>
          <w:sz w:val="28"/>
          <w:szCs w:val="28"/>
          <w:highlight w:val="none"/>
        </w:rPr>
        <w:t>1.标书费、投标保证金均不能通过个人账户打款，必须从投标人账户电汇或转账到招标人投标保证金收款账户(汇错账户将原路径退回，不予受理)。</w:t>
      </w:r>
    </w:p>
    <w:p>
      <w:pPr>
        <w:spacing w:line="560" w:lineRule="exact"/>
        <w:ind w:firstLine="560" w:firstLineChars="200"/>
        <w:rPr>
          <w:rFonts w:hint="eastAsia" w:ascii="仿宋_GB2312" w:eastAsia="仿宋_GB2312" w:cs="Calibri"/>
          <w:sz w:val="28"/>
          <w:szCs w:val="28"/>
          <w:highlight w:val="none"/>
        </w:rPr>
      </w:pPr>
      <w:r>
        <w:rPr>
          <w:rFonts w:hint="eastAsia" w:ascii="仿宋_GB2312" w:eastAsia="仿宋_GB2312" w:cs="Calibri"/>
          <w:sz w:val="28"/>
          <w:szCs w:val="28"/>
          <w:highlight w:val="none"/>
        </w:rPr>
        <w:t>2.标书费不再开具收据，日照公司开具电子增值税专用发票并发送至供应商邮箱。（供应商必须认真填写供应商信息表（详见招标文件附录7），必须确保信息准确。）</w:t>
      </w:r>
    </w:p>
    <w:p>
      <w:pPr>
        <w:spacing w:line="580" w:lineRule="exact"/>
        <w:ind w:firstLine="560" w:firstLineChars="200"/>
        <w:rPr>
          <w:rFonts w:hint="eastAsia" w:ascii="仿宋_GB2312" w:eastAsia="仿宋_GB2312" w:cs="Calibri"/>
          <w:sz w:val="28"/>
          <w:szCs w:val="28"/>
        </w:rPr>
      </w:pPr>
      <w:r>
        <w:rPr>
          <w:rFonts w:hint="eastAsia" w:ascii="仿宋_GB2312" w:eastAsia="仿宋_GB2312" w:cs="Calibri"/>
          <w:sz w:val="28"/>
          <w:szCs w:val="28"/>
          <w:highlight w:val="none"/>
        </w:rPr>
        <w:t>3.交款时，标书费、投标保证金必须分开缴纳，不能合并一笔支付</w:t>
      </w:r>
      <w:r>
        <w:rPr>
          <w:rFonts w:hint="eastAsia" w:ascii="仿宋_GB2312" w:eastAsia="仿宋_GB2312" w:cs="Calibri"/>
          <w:sz w:val="28"/>
          <w:szCs w:val="28"/>
        </w:rPr>
        <w:t>。并必须注明投标项目（如有分包的须注明包号）；否则，招标人有权不予确认，由此引起的后果由潜在投标人承担。</w:t>
      </w:r>
    </w:p>
    <w:p>
      <w:pPr>
        <w:widowControl/>
        <w:spacing w:line="560" w:lineRule="exact"/>
        <w:ind w:firstLine="560" w:firstLineChars="200"/>
        <w:rPr>
          <w:rFonts w:hint="eastAsia" w:ascii="仿宋_GB2312" w:hAnsi="仿宋" w:eastAsia="仿宋_GB2312"/>
          <w:color w:val="000000"/>
          <w:sz w:val="28"/>
          <w:szCs w:val="32"/>
        </w:rPr>
      </w:pPr>
      <w:r>
        <w:rPr>
          <w:rFonts w:hint="eastAsia" w:ascii="仿宋_GB2312" w:eastAsia="仿宋_GB2312" w:cs="Calibri"/>
          <w:sz w:val="28"/>
          <w:szCs w:val="28"/>
        </w:rPr>
        <w:t>4.中标结果公示后，1个月内退还项目投标保证金（无息）。期间谢绝电话咨询退还事宜；已交纳投标保证金，因故未投标的，请将投标保证金回执单扫描件及退换理由发至邮箱sdgtrz@163.com告知，并在邮件“主题”处写明：投标保证金+****项目+****单位+联系人+联系方式,在收到邮件后招标人会及时回复。</w:t>
      </w:r>
    </w:p>
    <w:p>
      <w:pPr>
        <w:pStyle w:val="36"/>
        <w:spacing w:line="560" w:lineRule="exact"/>
        <w:ind w:firstLine="560" w:firstLineChars="200"/>
        <w:rPr>
          <w:rFonts w:hint="eastAsia" w:ascii="黑体" w:hAnsi="黑体" w:eastAsia="黑体"/>
          <w:sz w:val="28"/>
          <w:szCs w:val="32"/>
        </w:rPr>
      </w:pPr>
      <w:r>
        <w:rPr>
          <w:rFonts w:hint="eastAsia" w:ascii="黑体" w:hAnsi="黑体" w:eastAsia="黑体"/>
          <w:sz w:val="28"/>
          <w:szCs w:val="32"/>
        </w:rPr>
        <w:t>九、澄清答疑</w:t>
      </w:r>
    </w:p>
    <w:p>
      <w:pPr>
        <w:spacing w:line="560" w:lineRule="exact"/>
        <w:ind w:firstLine="560" w:firstLineChars="200"/>
        <w:rPr>
          <w:rFonts w:hint="eastAsia" w:ascii="仿宋_GB2312" w:hAnsi="仿宋" w:eastAsia="仿宋_GB2312"/>
          <w:color w:val="000000"/>
          <w:sz w:val="28"/>
          <w:szCs w:val="32"/>
        </w:rPr>
      </w:pPr>
      <w:r>
        <w:rPr>
          <w:rFonts w:hint="eastAsia" w:ascii="仿宋_GB2312" w:hAnsi="仿宋" w:eastAsia="仿宋_GB2312"/>
          <w:color w:val="000000"/>
          <w:sz w:val="28"/>
          <w:szCs w:val="32"/>
        </w:rPr>
        <w:t>（一）在提交响应文件截止时间前，采购人有权就采购文件进行澄清，澄清文件以附件的形式，在平台内予以发布。</w:t>
      </w:r>
    </w:p>
    <w:p>
      <w:pPr>
        <w:spacing w:line="560" w:lineRule="exact"/>
        <w:ind w:firstLine="560" w:firstLineChars="200"/>
        <w:rPr>
          <w:rFonts w:hint="eastAsia" w:ascii="仿宋_GB2312" w:hAnsi="仿宋" w:eastAsia="仿宋_GB2312"/>
          <w:color w:val="000000"/>
          <w:sz w:val="28"/>
          <w:szCs w:val="32"/>
        </w:rPr>
      </w:pPr>
      <w:r>
        <w:rPr>
          <w:rFonts w:hint="eastAsia" w:ascii="仿宋_GB2312" w:hAnsi="仿宋" w:eastAsia="仿宋_GB2312"/>
          <w:color w:val="000000"/>
          <w:sz w:val="28"/>
          <w:szCs w:val="32"/>
        </w:rPr>
        <w:t>（二）谈判响应供应商要求对谈判文件答疑的，应在提交响应文件截止时间1日前向采购人提出，澄清邮箱：</w:t>
      </w:r>
      <w:r>
        <w:rPr>
          <w:rFonts w:hint="eastAsia" w:ascii="仿宋_GB2312" w:hAnsi="仿宋" w:eastAsia="仿宋_GB2312"/>
          <w:color w:val="000000"/>
          <w:sz w:val="28"/>
          <w:szCs w:val="32"/>
        </w:rPr>
        <w:fldChar w:fldCharType="begin"/>
      </w:r>
      <w:r>
        <w:rPr>
          <w:rFonts w:hint="eastAsia" w:ascii="仿宋_GB2312" w:hAnsi="仿宋" w:eastAsia="仿宋_GB2312"/>
          <w:color w:val="000000"/>
          <w:sz w:val="28"/>
          <w:szCs w:val="32"/>
        </w:rPr>
        <w:instrText xml:space="preserve">HYPERLINK "mailto:sdgtrz@163.com"</w:instrText>
      </w:r>
      <w:r>
        <w:rPr>
          <w:rFonts w:hint="eastAsia" w:ascii="仿宋_GB2312" w:hAnsi="仿宋" w:eastAsia="仿宋_GB2312"/>
          <w:color w:val="000000"/>
          <w:sz w:val="28"/>
          <w:szCs w:val="32"/>
        </w:rPr>
        <w:fldChar w:fldCharType="separate"/>
      </w:r>
      <w:r>
        <w:rPr>
          <w:rFonts w:hint="eastAsia" w:ascii="仿宋_GB2312" w:hAnsi="仿宋" w:eastAsia="仿宋_GB2312"/>
          <w:color w:val="000000"/>
          <w:sz w:val="28"/>
          <w:szCs w:val="32"/>
        </w:rPr>
        <w:t>sdgtrz@163.com</w:t>
      </w:r>
      <w:r>
        <w:rPr>
          <w:rFonts w:hint="eastAsia" w:ascii="仿宋_GB2312" w:hAnsi="仿宋" w:eastAsia="仿宋_GB2312"/>
          <w:color w:val="000000"/>
          <w:sz w:val="28"/>
          <w:szCs w:val="32"/>
        </w:rPr>
        <w:fldChar w:fldCharType="end"/>
      </w:r>
      <w:r>
        <w:rPr>
          <w:rFonts w:hint="eastAsia" w:ascii="仿宋_GB2312" w:hAnsi="仿宋" w:eastAsia="仿宋_GB2312"/>
          <w:color w:val="000000"/>
          <w:sz w:val="28"/>
          <w:szCs w:val="32"/>
        </w:rPr>
        <w:t>，同时向该邮箱发送PDF版（盖章）和word版澄清问题文件。</w:t>
      </w:r>
      <w:r>
        <w:rPr>
          <w:rFonts w:hint="eastAsia" w:ascii="仿宋_GB2312" w:hAnsi="仿宋_GB2312" w:eastAsia="仿宋_GB2312" w:cs="仿宋_GB2312"/>
          <w:sz w:val="32"/>
          <w:szCs w:val="32"/>
        </w:rPr>
        <w:t>澄清在邮件 “主题”处应</w:t>
      </w:r>
      <w:r>
        <w:rPr>
          <w:rFonts w:hint="eastAsia" w:ascii="仿宋_GB2312" w:hAnsi="仿宋_GB2312" w:eastAsia="仿宋_GB2312" w:cs="仿宋_GB2312"/>
          <w:b/>
          <w:sz w:val="32"/>
          <w:szCs w:val="32"/>
        </w:rPr>
        <w:t>注明：“澄清+****项目+****单位+联系人+联系方式”</w:t>
      </w:r>
      <w:r>
        <w:rPr>
          <w:rFonts w:hint="eastAsia" w:ascii="仿宋_GB2312" w:hAnsi="仿宋" w:eastAsia="仿宋_GB2312"/>
          <w:color w:val="000000"/>
          <w:sz w:val="28"/>
          <w:szCs w:val="32"/>
        </w:rPr>
        <w:t>，不按要求注明信息的，采购人有权作未收到澄清要求文件处理。</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十一、采购人联系地址、联系人及联系方式</w:t>
      </w:r>
    </w:p>
    <w:p>
      <w:pPr>
        <w:adjustRightInd w:val="0"/>
        <w:snapToGrid w:val="0"/>
        <w:spacing w:line="560" w:lineRule="exact"/>
        <w:ind w:firstLine="560" w:firstLineChars="200"/>
        <w:rPr>
          <w:rFonts w:hint="eastAsia" w:ascii="仿宋_GB2312" w:hAnsi="仿宋" w:eastAsia="仿宋_GB2312"/>
          <w:sz w:val="28"/>
          <w:szCs w:val="32"/>
          <w:lang w:val="zh-CN"/>
        </w:rPr>
      </w:pPr>
      <w:r>
        <w:rPr>
          <w:rFonts w:hint="eastAsia" w:ascii="仿宋_GB2312" w:hAnsi="仿宋" w:eastAsia="仿宋_GB2312"/>
          <w:sz w:val="28"/>
          <w:szCs w:val="32"/>
          <w:lang w:val="zh-CN"/>
        </w:rPr>
        <w:t>采购人：山东钢铁集团日照有限公司</w:t>
      </w:r>
    </w:p>
    <w:p>
      <w:pPr>
        <w:adjustRightInd w:val="0"/>
        <w:snapToGrid w:val="0"/>
        <w:spacing w:line="560" w:lineRule="exact"/>
        <w:ind w:firstLine="560" w:firstLineChars="200"/>
        <w:rPr>
          <w:rFonts w:hint="eastAsia" w:ascii="仿宋_GB2312" w:hAnsi="仿宋" w:eastAsia="仿宋_GB2312"/>
          <w:sz w:val="28"/>
          <w:szCs w:val="32"/>
          <w:lang w:val="zh-CN"/>
        </w:rPr>
      </w:pPr>
      <w:r>
        <w:rPr>
          <w:rFonts w:hint="eastAsia" w:ascii="仿宋_GB2312" w:hAnsi="仿宋" w:eastAsia="仿宋_GB2312"/>
          <w:sz w:val="28"/>
          <w:szCs w:val="32"/>
          <w:lang w:val="zh-CN"/>
        </w:rPr>
        <w:t>办公地址：山东钢铁日照公司办公楼-餐饮中心A区</w:t>
      </w:r>
      <w:r>
        <w:rPr>
          <w:rFonts w:hint="eastAsia" w:ascii="仿宋_GB2312" w:hAnsi="仿宋" w:eastAsia="仿宋_GB2312"/>
          <w:sz w:val="28"/>
          <w:szCs w:val="32"/>
        </w:rPr>
        <w:t>二</w:t>
      </w:r>
      <w:r>
        <w:rPr>
          <w:rFonts w:hint="eastAsia" w:ascii="仿宋_GB2312" w:hAnsi="仿宋" w:eastAsia="仿宋_GB2312"/>
          <w:sz w:val="28"/>
          <w:szCs w:val="32"/>
          <w:lang w:val="zh-CN"/>
        </w:rPr>
        <w:t>楼</w:t>
      </w:r>
      <w:r>
        <w:rPr>
          <w:rFonts w:hint="eastAsia" w:ascii="仿宋_GB2312" w:hAnsi="仿宋" w:eastAsia="仿宋_GB2312"/>
          <w:sz w:val="28"/>
          <w:szCs w:val="32"/>
        </w:rPr>
        <w:t>2</w:t>
      </w:r>
      <w:r>
        <w:rPr>
          <w:rFonts w:hint="eastAsia" w:ascii="仿宋_GB2312" w:hAnsi="仿宋" w:eastAsia="仿宋_GB2312"/>
          <w:sz w:val="28"/>
          <w:szCs w:val="32"/>
          <w:lang w:val="zh-CN"/>
        </w:rPr>
        <w:t>01室（日照市东港区临钢路1号）</w:t>
      </w:r>
    </w:p>
    <w:p>
      <w:pPr>
        <w:spacing w:line="560" w:lineRule="exact"/>
        <w:ind w:firstLine="560" w:firstLineChars="200"/>
        <w:rPr>
          <w:rFonts w:hint="eastAsia" w:ascii="仿宋_GB2312" w:hAnsi="仿宋" w:eastAsia="仿宋_GB2312"/>
          <w:sz w:val="28"/>
          <w:szCs w:val="32"/>
          <w:lang w:val="zh-CN"/>
        </w:rPr>
      </w:pPr>
      <w:r>
        <w:rPr>
          <w:rFonts w:hint="eastAsia" w:ascii="仿宋_GB2312" w:hAnsi="仿宋" w:eastAsia="仿宋_GB2312"/>
          <w:sz w:val="28"/>
          <w:szCs w:val="32"/>
          <w:lang w:val="zh-CN"/>
        </w:rPr>
        <w:t>咨询时间：</w:t>
      </w:r>
    </w:p>
    <w:p>
      <w:pPr>
        <w:adjustRightInd w:val="0"/>
        <w:snapToGrid w:val="0"/>
        <w:spacing w:line="560" w:lineRule="exact"/>
        <w:ind w:firstLine="560" w:firstLineChars="200"/>
        <w:rPr>
          <w:rFonts w:hint="eastAsia" w:ascii="仿宋_GB2312" w:hAnsi="仿宋_GB2312" w:eastAsia="仿宋_GB2312" w:cs="仿宋_GB2312"/>
          <w:sz w:val="32"/>
          <w:szCs w:val="32"/>
        </w:rPr>
      </w:pPr>
      <w:r>
        <w:rPr>
          <w:rFonts w:hint="eastAsia" w:ascii="仿宋_GB2312" w:hAnsi="仿宋" w:eastAsia="仿宋_GB2312"/>
          <w:sz w:val="28"/>
          <w:szCs w:val="32"/>
          <w:lang w:val="zh-CN"/>
        </w:rPr>
        <w:t>工作日 上午：8:30-11:45      下午：13:00-16:30</w:t>
      </w:r>
    </w:p>
    <w:tbl>
      <w:tblPr>
        <w:tblStyle w:val="17"/>
        <w:tblpPr w:leftFromText="180" w:rightFromText="180" w:vertAnchor="text" w:horzAnchor="page" w:tblpX="1645" w:tblpY="488"/>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859"/>
        <w:gridCol w:w="2489"/>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top"/>
          </w:tcPr>
          <w:p>
            <w:pPr>
              <w:spacing w:line="560" w:lineRule="exact"/>
              <w:jc w:val="center"/>
              <w:rPr>
                <w:rFonts w:ascii="仿宋_GB2312" w:eastAsia="仿宋_GB2312"/>
                <w:kern w:val="0"/>
                <w:sz w:val="28"/>
                <w:szCs w:val="28"/>
              </w:rPr>
            </w:pPr>
            <w:r>
              <w:rPr>
                <w:rFonts w:hint="eastAsia" w:ascii="仿宋_GB2312" w:eastAsia="仿宋_GB2312"/>
                <w:kern w:val="0"/>
                <w:sz w:val="28"/>
                <w:szCs w:val="28"/>
              </w:rPr>
              <w:t>序号</w:t>
            </w:r>
          </w:p>
        </w:tc>
        <w:tc>
          <w:tcPr>
            <w:tcW w:w="1859" w:type="dxa"/>
            <w:noWrap w:val="0"/>
            <w:vAlign w:val="top"/>
          </w:tcPr>
          <w:p>
            <w:pPr>
              <w:spacing w:line="560" w:lineRule="exact"/>
              <w:jc w:val="center"/>
              <w:rPr>
                <w:rFonts w:hint="eastAsia" w:ascii="仿宋_GB2312" w:eastAsia="仿宋_GB2312"/>
                <w:kern w:val="0"/>
                <w:sz w:val="28"/>
                <w:szCs w:val="28"/>
              </w:rPr>
            </w:pPr>
            <w:r>
              <w:rPr>
                <w:rFonts w:hint="eastAsia" w:ascii="仿宋_GB2312" w:eastAsia="仿宋_GB2312"/>
                <w:kern w:val="0"/>
                <w:sz w:val="28"/>
                <w:szCs w:val="28"/>
              </w:rPr>
              <w:t>业务</w:t>
            </w:r>
          </w:p>
        </w:tc>
        <w:tc>
          <w:tcPr>
            <w:tcW w:w="2489" w:type="dxa"/>
            <w:noWrap w:val="0"/>
            <w:vAlign w:val="top"/>
          </w:tcPr>
          <w:p>
            <w:pPr>
              <w:spacing w:line="560" w:lineRule="exact"/>
              <w:jc w:val="center"/>
              <w:rPr>
                <w:rFonts w:hint="eastAsia" w:ascii="仿宋_GB2312" w:eastAsia="仿宋_GB2312"/>
                <w:kern w:val="0"/>
                <w:sz w:val="28"/>
                <w:szCs w:val="28"/>
              </w:rPr>
            </w:pPr>
            <w:r>
              <w:rPr>
                <w:rFonts w:hint="eastAsia" w:ascii="仿宋_GB2312" w:eastAsia="仿宋_GB2312"/>
                <w:kern w:val="0"/>
                <w:sz w:val="28"/>
                <w:szCs w:val="28"/>
              </w:rPr>
              <w:t>联系人</w:t>
            </w:r>
          </w:p>
        </w:tc>
        <w:tc>
          <w:tcPr>
            <w:tcW w:w="3856" w:type="dxa"/>
            <w:noWrap w:val="0"/>
            <w:vAlign w:val="top"/>
          </w:tcPr>
          <w:p>
            <w:pPr>
              <w:spacing w:line="560" w:lineRule="exact"/>
              <w:jc w:val="center"/>
              <w:rPr>
                <w:rFonts w:hint="eastAsia" w:ascii="仿宋_GB2312" w:eastAsia="仿宋_GB2312"/>
                <w:kern w:val="0"/>
                <w:sz w:val="28"/>
                <w:szCs w:val="28"/>
              </w:rPr>
            </w:pPr>
            <w:r>
              <w:rPr>
                <w:rFonts w:hint="eastAsia" w:ascii="仿宋_GB2312" w:eastAsia="仿宋_GB2312"/>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 w:type="dxa"/>
            <w:noWrap w:val="0"/>
            <w:vAlign w:val="top"/>
          </w:tcPr>
          <w:p>
            <w:pPr>
              <w:spacing w:line="560" w:lineRule="exact"/>
              <w:jc w:val="center"/>
              <w:rPr>
                <w:rFonts w:hint="eastAsia" w:ascii="仿宋_GB2312" w:eastAsia="仿宋_GB2312"/>
                <w:kern w:val="0"/>
                <w:sz w:val="28"/>
                <w:szCs w:val="28"/>
                <w:highlight w:val="none"/>
                <w:lang w:eastAsia="zh-CN"/>
              </w:rPr>
            </w:pPr>
            <w:r>
              <w:rPr>
                <w:rFonts w:hint="eastAsia" w:ascii="仿宋_GB2312" w:eastAsia="仿宋_GB2312"/>
                <w:kern w:val="0"/>
                <w:sz w:val="28"/>
                <w:szCs w:val="28"/>
                <w:highlight w:val="none"/>
                <w:lang w:val="en-US" w:eastAsia="zh-CN"/>
              </w:rPr>
              <w:t>1</w:t>
            </w:r>
          </w:p>
        </w:tc>
        <w:tc>
          <w:tcPr>
            <w:tcW w:w="1859" w:type="dxa"/>
            <w:noWrap w:val="0"/>
            <w:vAlign w:val="top"/>
          </w:tcPr>
          <w:p>
            <w:pPr>
              <w:spacing w:line="56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谈判技术员</w:t>
            </w:r>
          </w:p>
        </w:tc>
        <w:tc>
          <w:tcPr>
            <w:tcW w:w="2489" w:type="dxa"/>
            <w:noWrap w:val="0"/>
            <w:vAlign w:val="top"/>
          </w:tcPr>
          <w:p>
            <w:pPr>
              <w:spacing w:line="560" w:lineRule="exact"/>
              <w:jc w:val="center"/>
              <w:rPr>
                <w:rFonts w:hint="default" w:ascii="仿宋_GB2312" w:hAnsi="Times New Roman" w:eastAsia="仿宋_GB2312" w:cs="Times New Roman"/>
                <w:sz w:val="28"/>
                <w:szCs w:val="28"/>
                <w:highlight w:val="none"/>
              </w:rPr>
            </w:pPr>
            <w:r>
              <w:rPr>
                <w:rFonts w:hint="eastAsia" w:ascii="仿宋_GB2312" w:eastAsia="仿宋_GB2312" w:cs="Times New Roman"/>
                <w:sz w:val="28"/>
                <w:szCs w:val="28"/>
                <w:highlight w:val="none"/>
                <w:lang w:val="en-US" w:eastAsia="zh-CN"/>
              </w:rPr>
              <w:t>温女士</w:t>
            </w:r>
          </w:p>
        </w:tc>
        <w:tc>
          <w:tcPr>
            <w:tcW w:w="3856" w:type="dxa"/>
            <w:noWrap w:val="0"/>
            <w:vAlign w:val="top"/>
          </w:tcPr>
          <w:p>
            <w:pPr>
              <w:spacing w:line="560" w:lineRule="exact"/>
              <w:jc w:val="center"/>
              <w:rPr>
                <w:rFonts w:hint="default"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rPr>
              <w:t>0633-</w:t>
            </w:r>
            <w:r>
              <w:rPr>
                <w:rFonts w:hint="eastAsia" w:ascii="仿宋_GB2312" w:hAnsi="Times New Roman" w:eastAsia="仿宋_GB2312" w:cs="Times New Roman"/>
                <w:sz w:val="28"/>
                <w:szCs w:val="28"/>
                <w:highlight w:val="none"/>
                <w:lang w:val="en-US" w:eastAsia="zh-CN"/>
              </w:rPr>
              <w:t>792000</w:t>
            </w:r>
            <w:r>
              <w:rPr>
                <w:rFonts w:hint="eastAsia" w:ascii="仿宋_GB2312" w:eastAsia="仿宋_GB2312" w:cs="Times New Roman"/>
                <w:sz w:val="28"/>
                <w:szCs w:val="2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1" w:type="dxa"/>
            <w:noWrap w:val="0"/>
            <w:vAlign w:val="top"/>
          </w:tcPr>
          <w:p>
            <w:pPr>
              <w:spacing w:line="560" w:lineRule="exact"/>
              <w:jc w:val="center"/>
              <w:rPr>
                <w:rFonts w:hint="eastAsia" w:ascii="仿宋_GB2312" w:eastAsia="仿宋_GB2312"/>
                <w:kern w:val="0"/>
                <w:sz w:val="28"/>
                <w:szCs w:val="28"/>
                <w:highlight w:val="none"/>
                <w:lang w:eastAsia="zh-CN"/>
              </w:rPr>
            </w:pPr>
            <w:r>
              <w:rPr>
                <w:rFonts w:hint="eastAsia" w:ascii="仿宋_GB2312" w:eastAsia="仿宋_GB2312"/>
                <w:kern w:val="0"/>
                <w:sz w:val="28"/>
                <w:szCs w:val="28"/>
                <w:highlight w:val="none"/>
                <w:lang w:val="en-US" w:eastAsia="zh-CN"/>
              </w:rPr>
              <w:t>2</w:t>
            </w:r>
          </w:p>
        </w:tc>
        <w:tc>
          <w:tcPr>
            <w:tcW w:w="1859" w:type="dxa"/>
            <w:noWrap w:val="0"/>
            <w:vAlign w:val="top"/>
          </w:tcPr>
          <w:p>
            <w:pPr>
              <w:spacing w:line="560" w:lineRule="exact"/>
              <w:jc w:val="center"/>
              <w:rPr>
                <w:rFonts w:ascii="仿宋_GB2312" w:eastAsia="仿宋_GB2312"/>
                <w:kern w:val="0"/>
                <w:sz w:val="28"/>
                <w:szCs w:val="28"/>
                <w:highlight w:val="none"/>
              </w:rPr>
            </w:pPr>
            <w:r>
              <w:rPr>
                <w:rFonts w:hint="eastAsia" w:ascii="仿宋_GB2312" w:eastAsia="仿宋_GB2312"/>
                <w:kern w:val="0"/>
                <w:sz w:val="28"/>
                <w:szCs w:val="28"/>
                <w:highlight w:val="none"/>
              </w:rPr>
              <w:t>网站技术员</w:t>
            </w:r>
          </w:p>
        </w:tc>
        <w:tc>
          <w:tcPr>
            <w:tcW w:w="2489" w:type="dxa"/>
            <w:noWrap w:val="0"/>
            <w:vAlign w:val="top"/>
          </w:tcPr>
          <w:p>
            <w:pPr>
              <w:spacing w:line="560" w:lineRule="exact"/>
              <w:jc w:val="center"/>
              <w:rPr>
                <w:rFonts w:hint="eastAsia" w:ascii="仿宋_GB2312" w:eastAsia="仿宋_GB2312"/>
                <w:color w:val="FF0000"/>
                <w:sz w:val="28"/>
                <w:szCs w:val="28"/>
                <w:highlight w:val="none"/>
                <w:u w:val="single"/>
              </w:rPr>
            </w:pPr>
          </w:p>
        </w:tc>
        <w:tc>
          <w:tcPr>
            <w:tcW w:w="3856" w:type="dxa"/>
            <w:noWrap w:val="0"/>
            <w:vAlign w:val="top"/>
          </w:tcPr>
          <w:p>
            <w:pPr>
              <w:spacing w:line="560" w:lineRule="exact"/>
              <w:jc w:val="center"/>
              <w:rPr>
                <w:rFonts w:hint="eastAsia" w:ascii="仿宋_GB2312" w:eastAsia="仿宋_GB2312"/>
                <w:kern w:val="0"/>
                <w:sz w:val="28"/>
                <w:szCs w:val="28"/>
                <w:highlight w:val="none"/>
              </w:rPr>
            </w:pPr>
            <w:r>
              <w:rPr>
                <w:rFonts w:hint="eastAsia" w:ascii="仿宋_GB2312" w:eastAsia="仿宋_GB2312"/>
                <w:sz w:val="28"/>
                <w:szCs w:val="28"/>
                <w:highlight w:val="none"/>
              </w:rPr>
              <w:t>0531-67606687/0633-7920020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1" w:type="dxa"/>
            <w:noWrap w:val="0"/>
            <w:vAlign w:val="top"/>
          </w:tcPr>
          <w:p>
            <w:pPr>
              <w:spacing w:line="560" w:lineRule="exact"/>
              <w:jc w:val="center"/>
              <w:rPr>
                <w:rFonts w:hint="eastAsia" w:ascii="仿宋_GB2312" w:eastAsia="仿宋_GB2312"/>
                <w:kern w:val="0"/>
                <w:sz w:val="28"/>
                <w:szCs w:val="28"/>
                <w:highlight w:val="none"/>
                <w:lang w:eastAsia="zh-CN"/>
              </w:rPr>
            </w:pPr>
            <w:r>
              <w:rPr>
                <w:rFonts w:hint="eastAsia" w:ascii="仿宋_GB2312" w:eastAsia="仿宋_GB2312"/>
                <w:kern w:val="0"/>
                <w:sz w:val="28"/>
                <w:szCs w:val="28"/>
                <w:highlight w:val="none"/>
                <w:lang w:val="en-US" w:eastAsia="zh-CN"/>
              </w:rPr>
              <w:t>3</w:t>
            </w:r>
          </w:p>
        </w:tc>
        <w:tc>
          <w:tcPr>
            <w:tcW w:w="1859" w:type="dxa"/>
            <w:noWrap w:val="0"/>
            <w:vAlign w:val="top"/>
          </w:tcPr>
          <w:p>
            <w:pPr>
              <w:spacing w:line="560" w:lineRule="exact"/>
              <w:jc w:val="center"/>
              <w:rPr>
                <w:rFonts w:hint="eastAsia" w:ascii="仿宋_GB2312" w:eastAsia="仿宋_GB2312"/>
                <w:kern w:val="0"/>
                <w:sz w:val="28"/>
                <w:szCs w:val="28"/>
                <w:highlight w:val="none"/>
              </w:rPr>
            </w:pPr>
            <w:r>
              <w:rPr>
                <w:rFonts w:hint="eastAsia" w:ascii="仿宋" w:hAnsi="仿宋" w:eastAsia="仿宋"/>
                <w:kern w:val="0"/>
                <w:sz w:val="28"/>
                <w:szCs w:val="28"/>
                <w:highlight w:val="none"/>
              </w:rPr>
              <w:t>监督</w:t>
            </w:r>
          </w:p>
        </w:tc>
        <w:tc>
          <w:tcPr>
            <w:tcW w:w="2489" w:type="dxa"/>
            <w:noWrap w:val="0"/>
            <w:vAlign w:val="top"/>
          </w:tcPr>
          <w:p>
            <w:pPr>
              <w:spacing w:line="560" w:lineRule="exact"/>
              <w:jc w:val="center"/>
              <w:rPr>
                <w:rFonts w:hint="eastAsia" w:ascii="仿宋_GB2312" w:eastAsia="仿宋_GB2312"/>
                <w:sz w:val="28"/>
                <w:szCs w:val="28"/>
                <w:highlight w:val="none"/>
              </w:rPr>
            </w:pPr>
          </w:p>
        </w:tc>
        <w:tc>
          <w:tcPr>
            <w:tcW w:w="3856" w:type="dxa"/>
            <w:noWrap w:val="0"/>
            <w:vAlign w:val="top"/>
          </w:tcPr>
          <w:p>
            <w:pPr>
              <w:spacing w:line="560" w:lineRule="exact"/>
              <w:jc w:val="center"/>
              <w:rPr>
                <w:rFonts w:hint="default" w:ascii="仿宋_GB2312" w:eastAsia="仿宋"/>
                <w:kern w:val="0"/>
                <w:sz w:val="28"/>
                <w:szCs w:val="28"/>
                <w:highlight w:val="none"/>
                <w:lang w:val="en-US" w:eastAsia="zh-CN"/>
              </w:rPr>
            </w:pPr>
            <w:r>
              <w:rPr>
                <w:rFonts w:hint="eastAsia" w:ascii="仿宋" w:hAnsi="仿宋" w:eastAsia="仿宋"/>
                <w:kern w:val="0"/>
                <w:sz w:val="28"/>
                <w:szCs w:val="28"/>
                <w:highlight w:val="none"/>
              </w:rPr>
              <w:t>0633-792</w:t>
            </w:r>
            <w:r>
              <w:rPr>
                <w:rFonts w:hint="eastAsia" w:ascii="仿宋" w:hAnsi="仿宋" w:eastAsia="仿宋"/>
                <w:kern w:val="0"/>
                <w:sz w:val="28"/>
                <w:szCs w:val="28"/>
                <w:highlight w:val="none"/>
                <w:lang w:val="en-US" w:eastAsia="zh-CN"/>
              </w:rPr>
              <w:t>7999</w:t>
            </w:r>
          </w:p>
        </w:tc>
      </w:tr>
    </w:tbl>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十二、谈判程序</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（一）我公司按谈判文件规定的谈判时间、地点在相关部门的监督下进行谈判，</w:t>
      </w:r>
      <w:r>
        <w:rPr>
          <w:rFonts w:hint="eastAsia" w:ascii="仿宋_GB2312" w:hAnsi="仿宋" w:eastAsia="仿宋_GB2312"/>
          <w:kern w:val="0"/>
          <w:sz w:val="28"/>
          <w:szCs w:val="32"/>
        </w:rPr>
        <w:t>谈判响应供应商</w:t>
      </w:r>
      <w:r>
        <w:rPr>
          <w:rFonts w:hint="eastAsia" w:ascii="仿宋_GB2312" w:hAnsi="仿宋" w:eastAsia="仿宋_GB2312"/>
          <w:sz w:val="28"/>
          <w:szCs w:val="32"/>
        </w:rPr>
        <w:t>须准时参加，法人代表或其有效的授权人应当参加谈判。</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（二）谈判文件递交截止时间前提交了谈判响应文件的供应商方可以参加谈判。不接受截止时间后递交的谈判响应文件。</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（三）谈判小组负责对谈判响应文件进行审查。</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（四）谈判中，谈判响应供应商应当按谈判小组的要求对谈判响应文件作出书面解释或者澄清，并由法定代表人或授权代理人签字，解释或者澄清将作为响应文件的部分。</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（五）谈判响应供应商不得向谈判小组探听属于审查、澄清、评价、比较谈判响应文件和成交人等有关信息，不得以任何行为影响谈判过程，否则将被取消谈判资格。</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十三、确定成交候选人</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（一）根据谈判小组的意见，确定成交候选人。</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（二）如谈判响应供应商不满足谈判文件要求，有权重新组织谈判或申请采用其它采购方式，无论结果如何对谈判响应供应商的所产生的费用不予负责。</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（三）成交公告及异议：</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（1）成交公告后，采购平台向成交供应商发出《成交通知书》。</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（2）《成交通知书》将作为签订《商务合同》的依据。</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（3）谈判响应供应商在谈判结束后，每日登陆山钢集团招标采购与拍卖管理信息平台，在首页中标公示栏内查看公示结果。公示有效期为3天。</w:t>
      </w:r>
    </w:p>
    <w:p>
      <w:pPr>
        <w:pStyle w:val="7"/>
        <w:spacing w:line="560" w:lineRule="exact"/>
        <w:rPr>
          <w:rFonts w:hint="eastAsia" w:ascii="仿宋_GB2312"/>
          <w:sz w:val="28"/>
          <w:szCs w:val="32"/>
        </w:rPr>
      </w:pPr>
      <w:r>
        <w:rPr>
          <w:rFonts w:hint="eastAsia" w:ascii="仿宋_GB2312"/>
          <w:sz w:val="28"/>
          <w:szCs w:val="32"/>
        </w:rPr>
        <w:drawing>
          <wp:inline distT="0" distB="0" distL="114300" distR="114300">
            <wp:extent cx="5267325" cy="506730"/>
            <wp:effectExtent l="0" t="0" r="9525"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67325" cy="506730"/>
                    </a:xfrm>
                    <a:prstGeom prst="rect">
                      <a:avLst/>
                    </a:prstGeom>
                    <a:noFill/>
                    <a:ln>
                      <a:noFill/>
                    </a:ln>
                  </pic:spPr>
                </pic:pic>
              </a:graphicData>
            </a:graphic>
          </wp:inline>
        </w:drawing>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（4）谈判响应供应商或其他利害关系人认为谈判活动不符合法律、法规和规章规定的，有权依法提出。对评审过程有异议的，应当在评审现场提出；对成交结果有异议的，应当在成交人公示期间提出。</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投诉人投诉时，应当提交投诉书发送至邮箱sdgtrzjd@163.com。投诉书应当包括下列内容:</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①诉人的名称、投诉项目名称及有效联系方式;</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②诉事项的基本事实;</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③相关请求及主张;</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④有效线索和相关证明材料。</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（5）有下列情形之一的投诉，不予受理:</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 xml:space="preserve"> ①投诉人不是所投诉招标投标活动的参与者，或者与投诉项目无任何利害关系；投诉人是其他利害关系人但未提供与本项目利害相关的证明材料；</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②投诉事项不具体，且未提供有效线索，难以查证的;</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③投诉书未署具投诉人真实姓名、签字和有效联系方式的;以法人名义投诉的，投诉书未经法定代表人签字并加盖公章的;</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④超过投诉时效的;</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⑤已经作出处理决定，并且投诉人没有提出新的证据的;</w:t>
      </w:r>
    </w:p>
    <w:p>
      <w:pPr>
        <w:pStyle w:val="7"/>
        <w:spacing w:line="560" w:lineRule="exact"/>
        <w:ind w:firstLine="560" w:firstLineChars="200"/>
        <w:contextualSpacing/>
        <w:rPr>
          <w:rFonts w:hint="eastAsia" w:ascii="仿宋_GB2312" w:hAnsi="仿宋"/>
          <w:kern w:val="2"/>
          <w:sz w:val="28"/>
          <w:szCs w:val="32"/>
        </w:rPr>
      </w:pPr>
      <w:r>
        <w:rPr>
          <w:rFonts w:hint="eastAsia" w:ascii="仿宋_GB2312" w:hAnsi="仿宋"/>
          <w:kern w:val="2"/>
          <w:sz w:val="28"/>
          <w:szCs w:val="32"/>
        </w:rPr>
        <w:t>⑥存在其它明显弄虚作假、恶意投诉行为的。</w:t>
      </w:r>
    </w:p>
    <w:p>
      <w:pPr>
        <w:pStyle w:val="7"/>
        <w:spacing w:line="560" w:lineRule="exact"/>
        <w:ind w:firstLine="560" w:firstLineChars="200"/>
        <w:contextualSpacing/>
        <w:rPr>
          <w:rFonts w:hint="eastAsia" w:ascii="仿宋_GB2312" w:hAnsi="仿宋"/>
          <w:b/>
          <w:sz w:val="28"/>
          <w:szCs w:val="32"/>
        </w:rPr>
      </w:pPr>
      <w:r>
        <w:rPr>
          <w:rFonts w:hint="eastAsia" w:ascii="黑体" w:hAnsi="黑体" w:eastAsia="黑体"/>
          <w:sz w:val="28"/>
          <w:szCs w:val="32"/>
        </w:rPr>
        <w:t>十四、合同签订等</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（一）成交供应商在收到成交通知书后30天内，到指定地点与采购单位签订合同，否则，视为放弃成交。</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（二）谈判文件、成交供应商的谈判文件及澄清文件等，均为签订合同的依据及附件。</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（三）成交供应商未按规定签订合同，我公司有权取消其成交资格，并没收其谈判响应保证金。</w:t>
      </w:r>
    </w:p>
    <w:p>
      <w:pPr>
        <w:spacing w:line="560" w:lineRule="exact"/>
        <w:ind w:firstLine="560"/>
        <w:rPr>
          <w:rFonts w:hint="eastAsia" w:ascii="仿宋_GB2312" w:hAnsi="仿宋" w:eastAsia="仿宋_GB2312"/>
          <w:sz w:val="28"/>
          <w:szCs w:val="32"/>
        </w:rPr>
      </w:pPr>
      <w:r>
        <w:rPr>
          <w:rFonts w:hint="eastAsia" w:ascii="仿宋_GB2312" w:hAnsi="仿宋" w:eastAsia="仿宋_GB2312"/>
          <w:sz w:val="28"/>
          <w:szCs w:val="32"/>
        </w:rPr>
        <w:t>（四）成交供应商不按合同履约的或其他违约行为，参照日照公司《供应商管理办法》执行。</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十五、履约担保：</w:t>
      </w:r>
    </w:p>
    <w:p>
      <w:pPr>
        <w:spacing w:line="560" w:lineRule="exact"/>
        <w:ind w:firstLine="560" w:firstLineChars="200"/>
        <w:rPr>
          <w:rFonts w:hint="eastAsia" w:ascii="仿宋_GB2312" w:hAnsi="仿宋" w:eastAsia="仿宋_GB2312"/>
          <w:sz w:val="28"/>
          <w:szCs w:val="32"/>
          <w:highlight w:val="none"/>
          <w:lang w:eastAsia="zh-CN"/>
        </w:rPr>
      </w:pPr>
      <w:r>
        <w:rPr>
          <w:rFonts w:hint="eastAsia" w:ascii="仿宋_GB2312" w:hAnsi="仿宋" w:eastAsia="仿宋_GB2312"/>
          <w:sz w:val="28"/>
          <w:szCs w:val="32"/>
          <w:highlight w:val="none"/>
          <w:lang w:eastAsia="zh-CN"/>
        </w:rPr>
        <w:t>本项目无需履约担保。</w:t>
      </w:r>
    </w:p>
    <w:p>
      <w:pPr>
        <w:spacing w:line="560" w:lineRule="exact"/>
        <w:ind w:firstLine="560" w:firstLineChars="200"/>
        <w:rPr>
          <w:rFonts w:hint="eastAsia" w:ascii="黑体" w:hAnsi="黑体" w:eastAsia="黑体"/>
          <w:sz w:val="28"/>
          <w:szCs w:val="32"/>
        </w:rPr>
      </w:pPr>
      <w:r>
        <w:rPr>
          <w:rFonts w:hint="eastAsia" w:ascii="黑体" w:hAnsi="黑体" w:eastAsia="黑体"/>
          <w:sz w:val="28"/>
          <w:szCs w:val="32"/>
        </w:rPr>
        <w:t>十</w:t>
      </w:r>
      <w:r>
        <w:rPr>
          <w:rFonts w:hint="eastAsia" w:ascii="黑体" w:hAnsi="黑体" w:eastAsia="黑体"/>
          <w:sz w:val="28"/>
          <w:szCs w:val="32"/>
          <w:lang w:val="en-US" w:eastAsia="zh-CN"/>
        </w:rPr>
        <w:t>六</w:t>
      </w:r>
      <w:r>
        <w:rPr>
          <w:rFonts w:hint="eastAsia" w:ascii="黑体" w:hAnsi="黑体" w:eastAsia="黑体"/>
          <w:sz w:val="28"/>
          <w:szCs w:val="32"/>
        </w:rPr>
        <w:t>、图纸和技术资料交付：</w:t>
      </w:r>
    </w:p>
    <w:p>
      <w:pPr>
        <w:spacing w:line="560" w:lineRule="exact"/>
        <w:ind w:firstLine="560" w:firstLineChars="200"/>
        <w:rPr>
          <w:rFonts w:ascii="仿宋_GB2312" w:hAnsi="仿宋" w:eastAsia="仿宋_GB2312"/>
          <w:sz w:val="28"/>
          <w:szCs w:val="32"/>
        </w:rPr>
      </w:pPr>
      <w:r>
        <w:rPr>
          <w:rFonts w:hint="eastAsia" w:ascii="仿宋_GB2312" w:hAnsi="仿宋" w:eastAsia="仿宋_GB2312"/>
          <w:sz w:val="28"/>
          <w:szCs w:val="32"/>
        </w:rPr>
        <w:t>谈判文件规定成交供应商提供图纸和技术资料的，成交供应商必须在采购单位规定的时间内交付山东钢铁集团日照有限公司。</w:t>
      </w:r>
    </w:p>
    <w:p>
      <w:pPr>
        <w:spacing w:line="560" w:lineRule="exact"/>
        <w:ind w:firstLine="560" w:firstLineChars="200"/>
        <w:rPr>
          <w:rFonts w:hint="eastAsia" w:ascii="仿宋_GB2312" w:hAnsi="仿宋" w:eastAsia="仿宋_GB2312"/>
          <w:sz w:val="28"/>
          <w:szCs w:val="32"/>
        </w:rPr>
      </w:pPr>
    </w:p>
    <w:p>
      <w:pPr>
        <w:pStyle w:val="15"/>
        <w:rPr>
          <w:rFonts w:hint="eastAsia" w:ascii="黑体" w:hAnsi="黑体" w:eastAsia="黑体"/>
          <w:b w:val="0"/>
        </w:rPr>
      </w:pPr>
      <w:bookmarkStart w:id="6" w:name="_Toc588"/>
      <w:bookmarkStart w:id="7" w:name="_Toc11433"/>
      <w:bookmarkStart w:id="8" w:name="_Toc32213"/>
      <w:bookmarkStart w:id="9" w:name="_Toc21129"/>
      <w:r>
        <w:rPr>
          <w:rFonts w:ascii="黑体" w:hAnsi="黑体" w:eastAsia="黑体"/>
          <w:b w:val="0"/>
        </w:rPr>
        <w:br w:type="page"/>
      </w:r>
      <w:r>
        <w:rPr>
          <w:rFonts w:hint="eastAsia" w:ascii="黑体" w:hAnsi="黑体" w:eastAsia="黑体"/>
          <w:b w:val="0"/>
        </w:rPr>
        <w:t>第二章</w:t>
      </w:r>
      <w:r>
        <w:rPr>
          <w:rFonts w:ascii="黑体" w:hAnsi="黑体" w:eastAsia="黑体"/>
          <w:b w:val="0"/>
        </w:rPr>
        <w:t xml:space="preserve">  </w:t>
      </w:r>
      <w:r>
        <w:rPr>
          <w:rFonts w:hint="eastAsia" w:ascii="黑体" w:hAnsi="黑体" w:eastAsia="黑体"/>
          <w:b w:val="0"/>
        </w:rPr>
        <w:t>谈判内容</w:t>
      </w:r>
    </w:p>
    <w:p>
      <w:pPr>
        <w:autoSpaceDE w:val="0"/>
        <w:autoSpaceDN w:val="0"/>
        <w:adjustRightInd w:val="0"/>
        <w:spacing w:line="560" w:lineRule="exact"/>
        <w:jc w:val="left"/>
        <w:rPr>
          <w:rFonts w:hint="eastAsia" w:ascii="黑体" w:hAnsi="黑体" w:eastAsia="黑体"/>
          <w:sz w:val="28"/>
          <w:szCs w:val="28"/>
        </w:rPr>
      </w:pPr>
      <w:r>
        <w:rPr>
          <w:rFonts w:hint="eastAsia" w:ascii="黑体" w:hAnsi="黑体" w:eastAsia="黑体"/>
          <w:sz w:val="28"/>
          <w:szCs w:val="28"/>
        </w:rPr>
        <w:t>一、谈判内容</w:t>
      </w:r>
    </w:p>
    <w:p>
      <w:pPr>
        <w:spacing w:line="560" w:lineRule="exact"/>
        <w:ind w:firstLine="560"/>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按照宝武集团信息化系统上云工作“应上尽上”要求，公司完成了信息化提升改造协同支撑（一步）项目属地系统宝之云（日照节点）上部署及宝钢股份系统的宝之云上覆盖扩容工作。</w:t>
      </w:r>
    </w:p>
    <w:p>
      <w:pPr>
        <w:spacing w:line="560" w:lineRule="exact"/>
        <w:ind w:firstLine="560"/>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目前宝之云上各系统运转正常，需支付2025年云服务相关服务费用。根据2025 年 2 月 28 日下发的《关于 2025 年度采购策略实施备案的通知》，本项目将以“直接采购”的方式，与宝信软件进行独家谈判，并完成采购工作。</w:t>
      </w:r>
    </w:p>
    <w:p>
      <w:pPr>
        <w:spacing w:line="560" w:lineRule="exact"/>
        <w:ind w:firstLine="560"/>
        <w:rPr>
          <w:rFonts w:hint="eastAsia" w:ascii="仿宋_GB2312" w:hAnsi="仿宋" w:eastAsia="仿宋_GB2312" w:cs="Times New Roman"/>
          <w:sz w:val="28"/>
          <w:szCs w:val="32"/>
        </w:rPr>
      </w:pPr>
      <w:r>
        <w:rPr>
          <w:rFonts w:hint="eastAsia" w:ascii="仿宋_GB2312" w:hAnsi="仿宋" w:eastAsia="仿宋_GB2312" w:cs="Times New Roman"/>
          <w:sz w:val="28"/>
          <w:szCs w:val="32"/>
          <w:lang w:val="en-US" w:eastAsia="zh-CN"/>
        </w:rPr>
        <w:t>投标</w:t>
      </w:r>
      <w:r>
        <w:rPr>
          <w:rFonts w:hint="eastAsia" w:ascii="仿宋_GB2312" w:hAnsi="仿宋" w:eastAsia="仿宋_GB2312" w:cs="Times New Roman"/>
          <w:sz w:val="28"/>
          <w:szCs w:val="32"/>
        </w:rPr>
        <w:t>方提供范围为</w:t>
      </w:r>
      <w:r>
        <w:rPr>
          <w:rFonts w:hint="eastAsia" w:ascii="仿宋_GB2312" w:hAnsi="仿宋" w:eastAsia="仿宋_GB2312" w:cs="Times New Roman"/>
          <w:sz w:val="28"/>
          <w:szCs w:val="32"/>
          <w:lang w:val="en-US" w:eastAsia="zh-CN"/>
        </w:rPr>
        <w:t>技术要求的</w:t>
      </w:r>
      <w:r>
        <w:rPr>
          <w:rFonts w:hint="eastAsia" w:ascii="仿宋_GB2312" w:hAnsi="仿宋" w:eastAsia="仿宋_GB2312" w:cs="Times New Roman"/>
          <w:sz w:val="28"/>
          <w:szCs w:val="32"/>
        </w:rPr>
        <w:t>《</w:t>
      </w:r>
      <w:r>
        <w:rPr>
          <w:rFonts w:hint="eastAsia" w:ascii="仿宋" w:hAnsi="仿宋" w:eastAsia="仿宋" w:cs="仿宋"/>
          <w:b w:val="0"/>
          <w:bCs w:val="0"/>
          <w:i w:val="0"/>
          <w:iCs w:val="0"/>
          <w:color w:val="000000"/>
          <w:spacing w:val="0"/>
          <w:w w:val="100"/>
          <w:sz w:val="28"/>
          <w:szCs w:val="28"/>
          <w:vertAlign w:val="baseline"/>
          <w:lang w:val="en-US"/>
        </w:rPr>
        <w:t> </w:t>
      </w:r>
      <w:r>
        <w:rPr>
          <w:rFonts w:hint="eastAsia" w:ascii="仿宋_GB2312" w:hAnsi="仿宋" w:eastAsia="仿宋_GB2312" w:cs="Times New Roman"/>
          <w:sz w:val="28"/>
          <w:szCs w:val="32"/>
        </w:rPr>
        <w:t>山东钢铁集团日照有限公</w:t>
      </w:r>
      <w:r>
        <w:rPr>
          <w:rFonts w:hint="eastAsia" w:ascii="仿宋" w:hAnsi="仿宋" w:eastAsia="仿宋" w:cs="仿宋"/>
          <w:color w:val="000000"/>
          <w:sz w:val="28"/>
          <w:szCs w:val="28"/>
        </w:rPr>
        <w:t>司</w:t>
      </w:r>
      <w:r>
        <w:rPr>
          <w:rFonts w:hint="eastAsia" w:ascii="仿宋" w:hAnsi="仿宋" w:eastAsia="仿宋" w:cs="仿宋"/>
          <w:b w:val="0"/>
          <w:bCs w:val="0"/>
          <w:i w:val="0"/>
          <w:iCs w:val="0"/>
          <w:color w:val="000000"/>
          <w:spacing w:val="0"/>
          <w:w w:val="100"/>
          <w:sz w:val="28"/>
          <w:szCs w:val="28"/>
          <w:vertAlign w:val="baseline"/>
          <w:lang w:val="en-US" w:eastAsia="zh-CN"/>
        </w:rPr>
        <w:t>日照基地信息化2025年云服务</w:t>
      </w:r>
      <w:r>
        <w:rPr>
          <w:rFonts w:hint="eastAsia" w:ascii="仿宋" w:hAnsi="仿宋" w:eastAsia="仿宋" w:cs="仿宋"/>
          <w:color w:val="000000"/>
          <w:sz w:val="28"/>
          <w:szCs w:val="28"/>
        </w:rPr>
        <w:t>清单》中所列的全部系统的云计算资源服</w:t>
      </w:r>
      <w:r>
        <w:rPr>
          <w:rFonts w:hint="eastAsia" w:ascii="仿宋_GB2312" w:hAnsi="仿宋" w:eastAsia="仿宋_GB2312" w:cs="Times New Roman"/>
          <w:sz w:val="28"/>
          <w:szCs w:val="32"/>
        </w:rPr>
        <w:t>务及配套技术服务（以下简称云服务）。</w:t>
      </w:r>
    </w:p>
    <w:p>
      <w:pPr>
        <w:spacing w:line="560" w:lineRule="exact"/>
        <w:ind w:firstLine="560"/>
        <w:rPr>
          <w:rFonts w:hint="eastAsia" w:ascii="仿宋_GB2312" w:hAnsi="仿宋" w:eastAsia="仿宋_GB2312" w:cs="Times New Roman"/>
          <w:sz w:val="28"/>
          <w:szCs w:val="32"/>
          <w:highlight w:val="none"/>
        </w:rPr>
      </w:pPr>
      <w:r>
        <w:rPr>
          <w:rFonts w:hint="eastAsia" w:ascii="仿宋_GB2312" w:hAnsi="仿宋" w:eastAsia="仿宋_GB2312" w:cs="Times New Roman"/>
          <w:sz w:val="28"/>
          <w:szCs w:val="32"/>
          <w:highlight w:val="none"/>
          <w:lang w:val="en-US" w:eastAsia="zh-CN"/>
        </w:rPr>
        <w:t>1.投标</w:t>
      </w:r>
      <w:r>
        <w:rPr>
          <w:rFonts w:hint="eastAsia" w:ascii="仿宋_GB2312" w:hAnsi="仿宋" w:eastAsia="仿宋_GB2312" w:cs="Times New Roman"/>
          <w:sz w:val="28"/>
          <w:szCs w:val="32"/>
          <w:highlight w:val="none"/>
        </w:rPr>
        <w:t>方提供15套属地移植类系统的正式环境的云计算PaaS和金牌级服务，承担正式环境7*24小时运行，运行率</w:t>
      </w:r>
      <w:r>
        <w:rPr>
          <w:rFonts w:hint="eastAsia" w:ascii="仿宋" w:hAnsi="仿宋" w:eastAsia="仿宋" w:cs="Times New Roman"/>
          <w:color w:val="000000"/>
          <w:sz w:val="28"/>
          <w:szCs w:val="28"/>
          <w:highlight w:val="none"/>
          <w:lang w:val="en-US" w:eastAsia="zh-CN"/>
        </w:rPr>
        <w:t>≥</w:t>
      </w:r>
      <w:r>
        <w:rPr>
          <w:rFonts w:hint="eastAsia" w:ascii="仿宋_GB2312" w:hAnsi="仿宋" w:eastAsia="仿宋_GB2312" w:cs="Times New Roman"/>
          <w:sz w:val="28"/>
          <w:szCs w:val="32"/>
          <w:highlight w:val="none"/>
        </w:rPr>
        <w:t>99.9%的指标服务内容和要求。</w:t>
      </w:r>
    </w:p>
    <w:p>
      <w:pPr>
        <w:spacing w:line="560" w:lineRule="exact"/>
        <w:ind w:firstLine="560"/>
        <w:rPr>
          <w:rFonts w:hint="eastAsia" w:ascii="仿宋_GB2312" w:hAnsi="仿宋" w:eastAsia="仿宋_GB2312" w:cs="Times New Roman"/>
          <w:sz w:val="28"/>
          <w:szCs w:val="32"/>
          <w:highlight w:val="none"/>
        </w:rPr>
      </w:pPr>
      <w:r>
        <w:rPr>
          <w:rFonts w:hint="eastAsia" w:ascii="仿宋_GB2312" w:hAnsi="仿宋" w:eastAsia="仿宋_GB2312" w:cs="Times New Roman"/>
          <w:sz w:val="28"/>
          <w:szCs w:val="32"/>
          <w:highlight w:val="none"/>
          <w:lang w:val="en-US" w:eastAsia="zh-CN"/>
        </w:rPr>
        <w:t>2.</w:t>
      </w:r>
      <w:r>
        <w:rPr>
          <w:rFonts w:hint="eastAsia" w:ascii="仿宋_GB2312" w:hAnsi="仿宋" w:eastAsia="仿宋_GB2312" w:cs="Times New Roman"/>
          <w:sz w:val="28"/>
          <w:szCs w:val="32"/>
          <w:highlight w:val="none"/>
        </w:rPr>
        <w:t>由</w:t>
      </w:r>
      <w:r>
        <w:rPr>
          <w:rFonts w:hint="eastAsia" w:ascii="仿宋_GB2312" w:hAnsi="仿宋" w:eastAsia="仿宋_GB2312" w:cs="Times New Roman"/>
          <w:sz w:val="28"/>
          <w:szCs w:val="32"/>
          <w:highlight w:val="none"/>
          <w:lang w:val="en-US" w:eastAsia="zh-CN"/>
        </w:rPr>
        <w:t>招标方</w:t>
      </w:r>
      <w:r>
        <w:rPr>
          <w:rFonts w:hint="eastAsia" w:ascii="仿宋_GB2312" w:hAnsi="仿宋" w:eastAsia="仿宋_GB2312" w:cs="Times New Roman"/>
          <w:sz w:val="28"/>
          <w:szCs w:val="32"/>
          <w:highlight w:val="none"/>
        </w:rPr>
        <w:t>提供以上15套属地移植类系统的测试及预发环境资源，</w:t>
      </w:r>
      <w:r>
        <w:rPr>
          <w:rFonts w:hint="eastAsia" w:ascii="仿宋_GB2312" w:hAnsi="仿宋" w:eastAsia="仿宋_GB2312" w:cs="Times New Roman"/>
          <w:sz w:val="28"/>
          <w:szCs w:val="32"/>
          <w:highlight w:val="none"/>
          <w:lang w:val="en-US" w:eastAsia="zh-CN"/>
        </w:rPr>
        <w:t>投标方</w:t>
      </w:r>
      <w:r>
        <w:rPr>
          <w:rFonts w:hint="eastAsia" w:ascii="仿宋_GB2312" w:hAnsi="仿宋" w:eastAsia="仿宋_GB2312" w:cs="Times New Roman"/>
          <w:sz w:val="28"/>
          <w:szCs w:val="32"/>
          <w:highlight w:val="none"/>
        </w:rPr>
        <w:t>提供相关的运营服务。</w:t>
      </w:r>
    </w:p>
    <w:p>
      <w:pPr>
        <w:spacing w:line="560" w:lineRule="exact"/>
        <w:ind w:firstLine="560"/>
        <w:rPr>
          <w:rFonts w:hint="eastAsia" w:ascii="仿宋_GB2312" w:hAnsi="仿宋" w:eastAsia="仿宋_GB2312" w:cs="Times New Roman"/>
          <w:sz w:val="28"/>
          <w:szCs w:val="32"/>
          <w:highlight w:val="none"/>
        </w:rPr>
      </w:pPr>
      <w:r>
        <w:rPr>
          <w:rFonts w:hint="eastAsia" w:ascii="仿宋_GB2312" w:hAnsi="仿宋" w:eastAsia="仿宋_GB2312" w:cs="Times New Roman"/>
          <w:sz w:val="28"/>
          <w:szCs w:val="32"/>
          <w:highlight w:val="none"/>
          <w:lang w:val="en-US" w:eastAsia="zh-CN"/>
        </w:rPr>
        <w:t>3.投标方</w:t>
      </w:r>
      <w:r>
        <w:rPr>
          <w:rFonts w:hint="eastAsia" w:ascii="仿宋_GB2312" w:hAnsi="仿宋" w:eastAsia="仿宋_GB2312" w:cs="Times New Roman"/>
          <w:sz w:val="28"/>
          <w:szCs w:val="32"/>
          <w:highlight w:val="none"/>
        </w:rPr>
        <w:t>提供协同办公OA及人力资源BWHR服务。</w:t>
      </w:r>
    </w:p>
    <w:p>
      <w:pPr>
        <w:spacing w:line="560" w:lineRule="exact"/>
        <w:ind w:firstLine="560"/>
        <w:rPr>
          <w:rFonts w:hint="eastAsia" w:ascii="仿宋_GB2312" w:hAnsi="仿宋" w:eastAsia="仿宋_GB2312" w:cs="Times New Roman"/>
          <w:sz w:val="28"/>
          <w:szCs w:val="32"/>
          <w:highlight w:val="none"/>
        </w:rPr>
      </w:pPr>
      <w:r>
        <w:rPr>
          <w:rFonts w:hint="eastAsia" w:ascii="仿宋_GB2312" w:hAnsi="仿宋" w:eastAsia="仿宋_GB2312" w:cs="Times New Roman"/>
          <w:sz w:val="28"/>
          <w:szCs w:val="32"/>
          <w:highlight w:val="none"/>
          <w:lang w:val="en-US" w:eastAsia="zh-CN"/>
        </w:rPr>
        <w:t>4.投标方</w:t>
      </w:r>
      <w:r>
        <w:rPr>
          <w:rFonts w:hint="eastAsia" w:ascii="仿宋_GB2312" w:hAnsi="仿宋" w:eastAsia="仿宋_GB2312" w:cs="Times New Roman"/>
          <w:sz w:val="28"/>
          <w:szCs w:val="32"/>
          <w:highlight w:val="none"/>
        </w:rPr>
        <w:t>提供5套覆盖类系统及制造集控服务。</w:t>
      </w:r>
    </w:p>
    <w:p>
      <w:pPr>
        <w:spacing w:line="560" w:lineRule="exact"/>
        <w:ind w:firstLine="560"/>
        <w:rPr>
          <w:rFonts w:hint="eastAsia" w:ascii="仿宋_GB2312" w:hAnsi="仿宋" w:eastAsia="仿宋_GB2312" w:cs="Times New Roman"/>
          <w:sz w:val="28"/>
          <w:szCs w:val="32"/>
          <w:highlight w:val="none"/>
          <w:lang w:val="en-US" w:eastAsia="zh-CN"/>
        </w:rPr>
      </w:pPr>
      <w:r>
        <w:rPr>
          <w:rFonts w:hint="eastAsia" w:ascii="仿宋_GB2312" w:hAnsi="仿宋" w:eastAsia="仿宋_GB2312" w:cs="Times New Roman"/>
          <w:sz w:val="28"/>
          <w:szCs w:val="32"/>
          <w:highlight w:val="none"/>
          <w:lang w:val="en-US" w:eastAsia="zh-CN"/>
        </w:rPr>
        <w:t>5.投标方提供云基础安全服务、安全态势感知监测服务、数据安全服务及系统安全合规检查服务。</w:t>
      </w:r>
    </w:p>
    <w:p>
      <w:pPr>
        <w:autoSpaceDE/>
        <w:autoSpaceDN/>
        <w:adjustRightInd/>
        <w:spacing w:line="560" w:lineRule="exact"/>
        <w:ind w:firstLine="560"/>
        <w:jc w:val="left"/>
        <w:rPr>
          <w:rFonts w:hint="eastAsia" w:ascii="仿宋_GB2312" w:hAnsi="仿宋" w:eastAsia="仿宋_GB2312" w:cs="Times New Roman"/>
          <w:sz w:val="28"/>
          <w:szCs w:val="32"/>
          <w:highlight w:val="none"/>
          <w:lang w:val="en-US" w:eastAsia="zh-CN"/>
        </w:rPr>
      </w:pPr>
      <w:r>
        <w:rPr>
          <w:rFonts w:hint="eastAsia" w:ascii="仿宋_GB2312" w:hAnsi="仿宋" w:eastAsia="仿宋_GB2312" w:cs="Times New Roman"/>
          <w:sz w:val="28"/>
          <w:szCs w:val="32"/>
          <w:highlight w:val="none"/>
          <w:lang w:val="en-US" w:eastAsia="zh-CN"/>
        </w:rPr>
        <w:t>6.投标方提供1套宝联登工业互联网平台服务。</w:t>
      </w:r>
    </w:p>
    <w:p>
      <w:pPr>
        <w:autoSpaceDE w:val="0"/>
        <w:autoSpaceDN w:val="0"/>
        <w:adjustRightInd w:val="0"/>
        <w:spacing w:line="560" w:lineRule="exact"/>
        <w:jc w:val="left"/>
        <w:rPr>
          <w:rFonts w:hint="eastAsia" w:ascii="黑体" w:hAnsi="黑体" w:eastAsia="黑体" w:cs="Times New Roman"/>
          <w:sz w:val="28"/>
          <w:szCs w:val="28"/>
        </w:rPr>
      </w:pPr>
      <w:r>
        <w:rPr>
          <w:rFonts w:hint="eastAsia" w:ascii="黑体" w:hAnsi="黑体" w:eastAsia="黑体" w:cs="Times New Roman"/>
          <w:sz w:val="28"/>
          <w:szCs w:val="28"/>
          <w:lang w:val="en-US" w:eastAsia="zh-CN"/>
        </w:rPr>
        <w:t>二、</w:t>
      </w:r>
      <w:r>
        <w:rPr>
          <w:rFonts w:hint="eastAsia" w:ascii="黑体" w:hAnsi="黑体" w:eastAsia="黑体" w:cs="Times New Roman"/>
          <w:sz w:val="28"/>
          <w:szCs w:val="28"/>
        </w:rPr>
        <w:t>技术要求</w:t>
      </w:r>
    </w:p>
    <w:p>
      <w:pPr>
        <w:spacing w:line="560" w:lineRule="exact"/>
        <w:rPr>
          <w:rFonts w:hint="eastAsia" w:ascii="仿宋" w:hAnsi="仿宋" w:eastAsia="仿宋" w:cs="仿宋"/>
          <w:b w:val="0"/>
          <w:bCs w:val="0"/>
          <w:i w:val="0"/>
          <w:iCs w:val="0"/>
          <w:color w:val="000000"/>
          <w:spacing w:val="0"/>
          <w:w w:val="100"/>
          <w:sz w:val="28"/>
          <w:szCs w:val="28"/>
          <w:vertAlign w:val="baseline"/>
          <w:lang w:val="en-US"/>
        </w:rPr>
      </w:pPr>
      <w:r>
        <w:rPr>
          <w:rFonts w:hint="eastAsia" w:ascii="仿宋_GB2312" w:hAnsi="仿宋" w:eastAsia="仿宋_GB2312" w:cs="Times New Roman"/>
          <w:sz w:val="28"/>
          <w:szCs w:val="32"/>
          <w:lang w:val="en-US" w:eastAsia="zh-CN"/>
        </w:rPr>
        <w:t>1.</w:t>
      </w:r>
      <w:r>
        <w:rPr>
          <w:rFonts w:hint="eastAsia" w:ascii="仿宋_GB2312" w:hAnsi="仿宋" w:eastAsia="仿宋_GB2312" w:cs="Times New Roman"/>
          <w:b w:val="0"/>
          <w:bCs w:val="0"/>
          <w:i w:val="0"/>
          <w:iCs w:val="0"/>
          <w:spacing w:val="0"/>
          <w:w w:val="100"/>
          <w:sz w:val="28"/>
          <w:szCs w:val="32"/>
          <w:vertAlign w:val="baseline"/>
          <w:lang w:val="en-US" w:eastAsia="zh-CN"/>
        </w:rPr>
        <w:t>日照基地信息化2025年云服务</w:t>
      </w:r>
      <w:r>
        <w:rPr>
          <w:rFonts w:hint="eastAsia" w:ascii="仿宋_GB2312" w:hAnsi="仿宋" w:eastAsia="仿宋_GB2312" w:cs="Times New Roman"/>
          <w:sz w:val="28"/>
          <w:szCs w:val="32"/>
          <w:lang w:val="en-US" w:eastAsia="zh-CN"/>
        </w:rPr>
        <w:t>清单</w:t>
      </w:r>
      <w:r>
        <w:rPr>
          <w:rFonts w:hint="eastAsia" w:ascii="仿宋" w:hAnsi="仿宋" w:eastAsia="仿宋" w:cs="仿宋"/>
          <w:b w:val="0"/>
          <w:bCs w:val="0"/>
          <w:i w:val="0"/>
          <w:iCs w:val="0"/>
          <w:color w:val="000000"/>
          <w:spacing w:val="0"/>
          <w:w w:val="100"/>
          <w:sz w:val="28"/>
          <w:szCs w:val="28"/>
          <w:vertAlign w:val="baseline"/>
          <w:lang w:val="en-US"/>
        </w:rPr>
        <w:t> </w:t>
      </w:r>
    </w:p>
    <w:p>
      <w:pPr>
        <w:spacing w:line="560" w:lineRule="exact"/>
        <w:rPr>
          <w:rFonts w:hint="eastAsia" w:ascii="仿宋" w:hAnsi="仿宋" w:eastAsia="仿宋" w:cs="仿宋"/>
          <w:b w:val="0"/>
          <w:bCs w:val="0"/>
          <w:i w:val="0"/>
          <w:iCs w:val="0"/>
          <w:color w:val="000000"/>
          <w:spacing w:val="0"/>
          <w:w w:val="100"/>
          <w:sz w:val="28"/>
          <w:szCs w:val="28"/>
          <w:vertAlign w:val="baseline"/>
          <w:lang w:val="en-US"/>
        </w:rPr>
      </w:pP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96"/>
        <w:gridCol w:w="2494"/>
        <w:gridCol w:w="1145"/>
        <w:gridCol w:w="1327"/>
        <w:gridCol w:w="1075"/>
        <w:gridCol w:w="1095"/>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序号</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系统名称</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环境类型</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服务类型</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服务规格</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服务等级</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移植类系统云服务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制造管理核心分区（运行环境）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中</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铁区管理分区（运行环境）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1.3</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钢轧作业分区（运行环境）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1.4</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冷轧作业分区（运行环境）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1.5</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运输作业分区（运行环境）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1.6</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资源综合利用（运行环境）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1.7</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MES框架授权分区（运行环境）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1.8</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企业服务总线（运行环境）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1.9</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检化验（运行环境）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1.10</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属地专业分析（运行环境）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管控中心（运行环境）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ePlat平台（运行环境）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1.13</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炼钢统一接口平台（运行环境）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1.14</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铁区统一接口平台（运行环境）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1.15</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园区系统（运行环境）</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超小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1.16</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测试及预发云服务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1.17</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云基础安全服务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详见 《网络安全服务》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1.18</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安全态势感知监测服务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1.19</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机柜反租</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协同办公OA、人力资源BWHR服务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2.1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协同办公OA</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SAAS</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2.2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人力资源BWHR服务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SAAS</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覆盖类系统云服务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宝钢股份标准财务系统BFMS</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宝钢股份工程项目管理系统BPMS</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银</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3.3</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宝钢股份营销核心业务系统IMC</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3.4</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原料采购物流管控PLMS</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银</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3.5</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智慧经营决策支持系统i-CE</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银</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3.6</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制造集控（备份存储扩容）</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3.7</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制造集控（数据库服务器存储扩充）</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运行环境</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PAAS(OLTP)</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小</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金</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4</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网络安全服务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详见 《网络安全服务》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4.1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数据安全服务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4.2</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系统安全合规检查服务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5</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工业互联网平台</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9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5.1</w:t>
            </w:r>
          </w:p>
        </w:tc>
        <w:tc>
          <w:tcPr>
            <w:tcW w:w="137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宝联登工业互联网平台服务</w:t>
            </w:r>
          </w:p>
        </w:tc>
        <w:tc>
          <w:tcPr>
            <w:tcW w:w="6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732"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93"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6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c>
          <w:tcPr>
            <w:tcW w:w="56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 详见 《</w:t>
            </w:r>
            <w:r>
              <w:rPr>
                <w:rFonts w:hint="eastAsia" w:ascii="方正仿宋_GB2312" w:hAnsi="方正仿宋_GB2312" w:eastAsia="方正仿宋_GB2312" w:cs="方正仿宋_GB2312"/>
                <w:b w:val="0"/>
                <w:bCs w:val="0"/>
                <w:i w:val="0"/>
                <w:iCs w:val="0"/>
                <w:color w:val="000000"/>
                <w:spacing w:val="0"/>
                <w:w w:val="100"/>
                <w:sz w:val="18"/>
                <w:szCs w:val="18"/>
                <w:vertAlign w:val="baseline"/>
                <w:lang w:val="en-US" w:eastAsia="zh-CN"/>
              </w:rPr>
              <w:t>宝联登工业互联网平台服务内容</w:t>
            </w:r>
            <w:r>
              <w:rPr>
                <w:rFonts w:hint="eastAsia" w:ascii="方正仿宋_GB2312" w:hAnsi="方正仿宋_GB2312" w:eastAsia="方正仿宋_GB2312" w:cs="方正仿宋_GB2312"/>
                <w:b w:val="0"/>
                <w:bCs w:val="0"/>
                <w:i w:val="0"/>
                <w:iCs w:val="0"/>
                <w:color w:val="000000"/>
                <w:spacing w:val="0"/>
                <w:w w:val="100"/>
                <w:sz w:val="18"/>
                <w:szCs w:val="18"/>
                <w:vertAlign w:val="baseline"/>
              </w:rPr>
              <w:t>》 </w:t>
            </w:r>
          </w:p>
        </w:tc>
      </w:tr>
    </w:tbl>
    <w:p>
      <w:pPr>
        <w:spacing w:line="560" w:lineRule="exact"/>
        <w:ind w:firstLine="560"/>
        <w:rPr>
          <w:rFonts w:hint="eastAsia" w:ascii="仿宋_GB2312" w:hAnsi="仿宋" w:eastAsia="仿宋_GB2312" w:cs="Times New Roman"/>
          <w:b w:val="0"/>
          <w:bCs w:val="0"/>
          <w:sz w:val="28"/>
          <w:szCs w:val="32"/>
        </w:rPr>
      </w:pPr>
      <w:r>
        <w:rPr>
          <w:rFonts w:hint="eastAsia" w:ascii="仿宋_GB2312" w:hAnsi="仿宋" w:eastAsia="仿宋_GB2312" w:cs="Times New Roman"/>
          <w:b w:val="0"/>
          <w:bCs w:val="0"/>
          <w:i w:val="0"/>
          <w:iCs w:val="0"/>
          <w:spacing w:val="0"/>
          <w:w w:val="100"/>
          <w:sz w:val="28"/>
          <w:szCs w:val="32"/>
          <w:vertAlign w:val="baseline"/>
          <w:lang w:val="en-US" w:eastAsia="zh-CN"/>
        </w:rPr>
        <w:t>备注：（1）</w:t>
      </w:r>
      <w:r>
        <w:rPr>
          <w:rFonts w:hint="eastAsia" w:ascii="仿宋_GB2312" w:hAnsi="仿宋" w:eastAsia="仿宋_GB2312" w:cs="Times New Roman"/>
          <w:b w:val="0"/>
          <w:bCs w:val="0"/>
          <w:sz w:val="28"/>
          <w:szCs w:val="32"/>
        </w:rPr>
        <w:t>金：平台运行率要求≥99.9%（服务时间7*24）</w:t>
      </w:r>
    </w:p>
    <w:p>
      <w:pPr>
        <w:spacing w:line="560" w:lineRule="exact"/>
        <w:ind w:firstLine="560"/>
        <w:rPr>
          <w:rFonts w:hint="eastAsia" w:ascii="仿宋_GB2312" w:hAnsi="仿宋" w:eastAsia="仿宋_GB2312" w:cs="Times New Roman"/>
          <w:b w:val="0"/>
          <w:bCs w:val="0"/>
          <w:sz w:val="28"/>
          <w:szCs w:val="32"/>
        </w:rPr>
      </w:pPr>
      <w:r>
        <w:rPr>
          <w:rFonts w:hint="eastAsia" w:ascii="仿宋_GB2312" w:hAnsi="仿宋" w:eastAsia="仿宋_GB2312" w:cs="Times New Roman"/>
          <w:b w:val="0"/>
          <w:bCs w:val="0"/>
          <w:sz w:val="28"/>
          <w:szCs w:val="32"/>
          <w:lang w:val="en-US" w:eastAsia="zh-CN"/>
        </w:rPr>
        <w:t xml:space="preserve">     </w:t>
      </w:r>
      <w:r>
        <w:rPr>
          <w:rFonts w:hint="eastAsia" w:ascii="仿宋_GB2312" w:hAnsi="仿宋" w:eastAsia="仿宋_GB2312" w:cs="Times New Roman"/>
          <w:b w:val="0"/>
          <w:bCs w:val="0"/>
          <w:sz w:val="28"/>
          <w:szCs w:val="32"/>
          <w:lang w:eastAsia="zh-CN"/>
        </w:rPr>
        <w:t>（</w:t>
      </w:r>
      <w:r>
        <w:rPr>
          <w:rFonts w:hint="eastAsia" w:ascii="仿宋_GB2312" w:hAnsi="仿宋" w:eastAsia="仿宋_GB2312" w:cs="Times New Roman"/>
          <w:b w:val="0"/>
          <w:bCs w:val="0"/>
          <w:sz w:val="28"/>
          <w:szCs w:val="32"/>
          <w:lang w:val="en-US" w:eastAsia="zh-CN"/>
        </w:rPr>
        <w:t>2</w:t>
      </w:r>
      <w:r>
        <w:rPr>
          <w:rFonts w:hint="eastAsia" w:ascii="仿宋_GB2312" w:hAnsi="仿宋" w:eastAsia="仿宋_GB2312" w:cs="Times New Roman"/>
          <w:b w:val="0"/>
          <w:bCs w:val="0"/>
          <w:sz w:val="28"/>
          <w:szCs w:val="32"/>
          <w:lang w:eastAsia="zh-CN"/>
        </w:rPr>
        <w:t>）</w:t>
      </w:r>
      <w:r>
        <w:rPr>
          <w:rFonts w:hint="eastAsia" w:ascii="仿宋_GB2312" w:hAnsi="仿宋" w:eastAsia="仿宋_GB2312" w:cs="Times New Roman"/>
          <w:b w:val="0"/>
          <w:bCs w:val="0"/>
          <w:sz w:val="28"/>
          <w:szCs w:val="32"/>
        </w:rPr>
        <w:t>银：平台运行率要求≥99.8%（服务时间 7*18，6:00-24:00）</w:t>
      </w:r>
    </w:p>
    <w:p>
      <w:pPr>
        <w:spacing w:line="560" w:lineRule="exact"/>
        <w:ind w:firstLine="560"/>
        <w:rPr>
          <w:rFonts w:hint="eastAsia" w:ascii="仿宋_GB2312" w:hAnsi="仿宋" w:eastAsia="仿宋_GB2312" w:cs="Times New Roman"/>
          <w:b w:val="0"/>
          <w:bCs w:val="0"/>
          <w:sz w:val="28"/>
          <w:szCs w:val="32"/>
        </w:rPr>
      </w:pPr>
      <w:r>
        <w:rPr>
          <w:rFonts w:hint="eastAsia" w:ascii="仿宋_GB2312" w:hAnsi="仿宋" w:eastAsia="仿宋_GB2312" w:cs="Times New Roman"/>
          <w:b w:val="0"/>
          <w:bCs w:val="0"/>
          <w:sz w:val="28"/>
          <w:szCs w:val="32"/>
          <w:lang w:val="en-US" w:eastAsia="zh-CN"/>
        </w:rPr>
        <w:t xml:space="preserve">     </w:t>
      </w:r>
      <w:r>
        <w:rPr>
          <w:rFonts w:hint="eastAsia" w:ascii="仿宋_GB2312" w:hAnsi="仿宋" w:eastAsia="仿宋_GB2312" w:cs="Times New Roman"/>
          <w:b w:val="0"/>
          <w:bCs w:val="0"/>
          <w:sz w:val="28"/>
          <w:szCs w:val="32"/>
          <w:lang w:eastAsia="zh-CN"/>
        </w:rPr>
        <w:t>（</w:t>
      </w:r>
      <w:r>
        <w:rPr>
          <w:rFonts w:hint="eastAsia" w:ascii="仿宋_GB2312" w:hAnsi="仿宋" w:eastAsia="仿宋_GB2312" w:cs="Times New Roman"/>
          <w:b w:val="0"/>
          <w:bCs w:val="0"/>
          <w:sz w:val="28"/>
          <w:szCs w:val="32"/>
          <w:lang w:val="en-US" w:eastAsia="zh-CN"/>
        </w:rPr>
        <w:t>3</w:t>
      </w:r>
      <w:r>
        <w:rPr>
          <w:rFonts w:hint="eastAsia" w:ascii="仿宋_GB2312" w:hAnsi="仿宋" w:eastAsia="仿宋_GB2312" w:cs="Times New Roman"/>
          <w:b w:val="0"/>
          <w:bCs w:val="0"/>
          <w:sz w:val="28"/>
          <w:szCs w:val="32"/>
          <w:lang w:eastAsia="zh-CN"/>
        </w:rPr>
        <w:t>）</w:t>
      </w:r>
      <w:r>
        <w:rPr>
          <w:rFonts w:hint="eastAsia" w:ascii="仿宋_GB2312" w:hAnsi="仿宋" w:eastAsia="仿宋_GB2312" w:cs="Times New Roman"/>
          <w:b w:val="0"/>
          <w:bCs w:val="0"/>
          <w:sz w:val="28"/>
          <w:szCs w:val="32"/>
        </w:rPr>
        <w:t xml:space="preserve">铜：平台运行率要求≥99%（服务时间 5*9，8:00-17:00) </w:t>
      </w:r>
    </w:p>
    <w:p>
      <w:pPr>
        <w:pStyle w:val="14"/>
        <w:keepNext w:val="0"/>
        <w:keepLines w:val="0"/>
        <w:widowControl/>
        <w:suppressLineNumbers w:val="0"/>
        <w:spacing w:before="0" w:beforeAutospacing="0" w:after="0" w:afterAutospacing="0" w:line="540" w:lineRule="atLeast"/>
        <w:ind w:left="0" w:right="0"/>
        <w:jc w:val="center"/>
      </w:pPr>
      <w:r>
        <w:rPr>
          <w:rFonts w:hint="eastAsia" w:ascii="宋体" w:hAnsi="宋体" w:eastAsia="宋体" w:cs="宋体"/>
          <w:b/>
          <w:bCs/>
          <w:i w:val="0"/>
          <w:iCs w:val="0"/>
          <w:color w:val="000000"/>
          <w:spacing w:val="0"/>
          <w:w w:val="100"/>
          <w:sz w:val="28"/>
          <w:szCs w:val="28"/>
          <w:vertAlign w:val="baseline"/>
          <w:lang w:val="en-US"/>
        </w:rPr>
        <w:t> </w:t>
      </w:r>
    </w:p>
    <w:p>
      <w:pPr>
        <w:spacing w:line="560" w:lineRule="exact"/>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2.网络安全服务内容</w:t>
      </w:r>
    </w:p>
    <w:tbl>
      <w:tblPr>
        <w:tblStyle w:val="1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29"/>
        <w:gridCol w:w="1881"/>
        <w:gridCol w:w="3985"/>
        <w:gridCol w:w="2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jc w:val="center"/>
        </w:trPr>
        <w:tc>
          <w:tcPr>
            <w:tcW w:w="568"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b/>
                <w:bCs/>
                <w:i w:val="0"/>
                <w:iCs w:val="0"/>
                <w:color w:val="000000"/>
                <w:spacing w:val="0"/>
                <w:w w:val="100"/>
                <w:sz w:val="18"/>
                <w:szCs w:val="18"/>
                <w:vertAlign w:val="baseline"/>
              </w:rPr>
              <w:t>服务类型</w:t>
            </w:r>
          </w:p>
        </w:tc>
        <w:tc>
          <w:tcPr>
            <w:tcW w:w="1038" w:type="pct"/>
            <w:tcBorders>
              <w:top w:val="single" w:color="000000" w:sz="8"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b/>
                <w:bCs/>
                <w:i w:val="0"/>
                <w:iCs w:val="0"/>
                <w:color w:val="000000"/>
                <w:spacing w:val="0"/>
                <w:w w:val="100"/>
                <w:sz w:val="18"/>
                <w:szCs w:val="18"/>
                <w:vertAlign w:val="baseline"/>
              </w:rPr>
              <w:t>服务名称</w:t>
            </w:r>
          </w:p>
        </w:tc>
        <w:tc>
          <w:tcPr>
            <w:tcW w:w="2199" w:type="pct"/>
            <w:tcBorders>
              <w:top w:val="single" w:color="000000" w:sz="8"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b/>
                <w:bCs/>
                <w:i w:val="0"/>
                <w:iCs w:val="0"/>
                <w:color w:val="000000"/>
                <w:spacing w:val="0"/>
                <w:w w:val="100"/>
                <w:sz w:val="18"/>
                <w:szCs w:val="18"/>
                <w:vertAlign w:val="baseline"/>
              </w:rPr>
              <w:t>服务范围</w:t>
            </w:r>
          </w:p>
        </w:tc>
        <w:tc>
          <w:tcPr>
            <w:tcW w:w="1193" w:type="pct"/>
            <w:tcBorders>
              <w:top w:val="single" w:color="000000" w:sz="8" w:space="0"/>
              <w:left w:val="single" w:color="000000" w:sz="2" w:space="0"/>
              <w:bottom w:val="single" w:color="000000" w:sz="8" w:space="0"/>
              <w:right w:val="single" w:color="000000" w:sz="8" w:space="0"/>
            </w:tcBorders>
            <w:noWrap w:val="0"/>
            <w:tcMar>
              <w:top w:w="0" w:type="dxa"/>
              <w:left w:w="108" w:type="dxa"/>
              <w:bottom w:w="0" w:type="dxa"/>
              <w:right w:w="108" w:type="dxa"/>
            </w:tcMar>
            <w:vAlign w:val="top"/>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i w:val="0"/>
                <w:iCs w:val="0"/>
                <w:color w:val="000000"/>
                <w:spacing w:val="0"/>
                <w:w w:val="100"/>
                <w:sz w:val="18"/>
                <w:szCs w:val="18"/>
                <w:vertAlign w:val="baseline"/>
              </w:rPr>
              <w:t>服务交付</w:t>
            </w:r>
            <w:r>
              <w:rPr>
                <w:rFonts w:hint="eastAsia" w:ascii="仿宋_GB2312" w:hAnsi="仿宋_GB2312" w:eastAsia="仿宋_GB2312" w:cs="仿宋_GB2312"/>
                <w:b/>
                <w:bCs/>
                <w:i w:val="0"/>
                <w:iCs w:val="0"/>
                <w:color w:val="000000"/>
                <w:spacing w:val="0"/>
                <w:w w:val="100"/>
                <w:sz w:val="18"/>
                <w:szCs w:val="18"/>
                <w:vertAlign w:val="baseline"/>
                <w:lang w:val="en-US" w:eastAsia="zh-CN"/>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jc w:val="center"/>
        </w:trPr>
        <w:tc>
          <w:tcPr>
            <w:tcW w:w="568"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云基础安全服务</w:t>
            </w: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日志审计</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提供日志审计服务所需资源；包含200个审计对象授权；日志初始存储容量≤2TB；根据需求，提供日志查询、回溯与分析等服务</w:t>
            </w:r>
          </w:p>
        </w:tc>
        <w:tc>
          <w:tcPr>
            <w:tcW w:w="1193"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《日志审计服务报告》（月度）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jc w:val="center"/>
        </w:trPr>
        <w:tc>
          <w:tcPr>
            <w:tcW w:w="568"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数据库审计</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提供数据库审计服务所需资源；100000条SQL/秒级吞吐量峰值；包含审计13个数据库实例；日志初始存储容量≤4.15TB；</w:t>
            </w:r>
          </w:p>
        </w:tc>
        <w:tc>
          <w:tcPr>
            <w:tcW w:w="1193"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《数据库审计服务报告》（月度）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jc w:val="center"/>
        </w:trPr>
        <w:tc>
          <w:tcPr>
            <w:tcW w:w="568"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WAF应用防火墙</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提供WAF应用防火墙服务所需资源，双机运行，资源运行率99.95%；每秒正常HTTP请求数≤3000000；防护三级域名个数≤40；最大吞吐量≤1Gbps；</w:t>
            </w:r>
          </w:p>
        </w:tc>
        <w:tc>
          <w:tcPr>
            <w:tcW w:w="1193"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jc w:val="center"/>
        </w:trPr>
        <w:tc>
          <w:tcPr>
            <w:tcW w:w="568"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安全态势感知监测服务</w:t>
            </w: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安全态势感知监测服务-云上主机</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i w:val="0"/>
                <w:iCs w:val="0"/>
                <w:color w:val="000000"/>
                <w:spacing w:val="0"/>
                <w:w w:val="100"/>
                <w:sz w:val="18"/>
                <w:szCs w:val="18"/>
                <w:vertAlign w:val="baseline"/>
              </w:rPr>
              <w:t>山钢日照安全态势感知主机监测，200</w:t>
            </w:r>
            <w:r>
              <w:rPr>
                <w:rFonts w:hint="eastAsia" w:ascii="仿宋_GB2312" w:hAnsi="仿宋_GB2312" w:eastAsia="仿宋_GB2312" w:cs="仿宋_GB2312"/>
                <w:b w:val="0"/>
                <w:bCs w:val="0"/>
                <w:i w:val="0"/>
                <w:iCs w:val="0"/>
                <w:color w:val="000000"/>
                <w:spacing w:val="0"/>
                <w:w w:val="100"/>
                <w:sz w:val="18"/>
                <w:szCs w:val="18"/>
                <w:vertAlign w:val="baseline"/>
                <w:lang w:val="en-US" w:eastAsia="zh-CN"/>
              </w:rPr>
              <w:t>个</w:t>
            </w:r>
            <w:r>
              <w:rPr>
                <w:rFonts w:hint="eastAsia" w:ascii="仿宋_GB2312" w:hAnsi="仿宋_GB2312" w:eastAsia="仿宋_GB2312" w:cs="仿宋_GB2312"/>
                <w:b w:val="0"/>
                <w:bCs w:val="0"/>
                <w:i w:val="0"/>
                <w:iCs w:val="0"/>
                <w:color w:val="000000"/>
                <w:spacing w:val="0"/>
                <w:w w:val="100"/>
                <w:sz w:val="18"/>
                <w:szCs w:val="18"/>
                <w:vertAlign w:val="baseline"/>
              </w:rPr>
              <w:t>宝之云主机</w:t>
            </w:r>
            <w:r>
              <w:rPr>
                <w:rFonts w:hint="eastAsia" w:ascii="仿宋_GB2312" w:hAnsi="仿宋_GB2312" w:eastAsia="仿宋_GB2312" w:cs="仿宋_GB2312"/>
                <w:b w:val="0"/>
                <w:bCs w:val="0"/>
                <w:i w:val="0"/>
                <w:iCs w:val="0"/>
                <w:color w:val="000000"/>
                <w:spacing w:val="0"/>
                <w:w w:val="100"/>
                <w:sz w:val="18"/>
                <w:szCs w:val="18"/>
                <w:vertAlign w:val="baseline"/>
                <w:lang w:val="en-US" w:eastAsia="zh-CN"/>
              </w:rPr>
              <w:t>探针授权及运营</w:t>
            </w:r>
          </w:p>
        </w:tc>
        <w:tc>
          <w:tcPr>
            <w:tcW w:w="1193" w:type="pct"/>
            <w:vMerge w:val="restar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《安全监测月度分析报告》</w:t>
            </w:r>
          </w:p>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《安全事件工单》</w:t>
            </w:r>
          </w:p>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《脆弱性监测报告》</w:t>
            </w:r>
          </w:p>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《网络安全运营年度分析报告》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68"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安全态势感知监测服务-主机防病毒</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i w:val="0"/>
                <w:iCs w:val="0"/>
                <w:color w:val="000000"/>
                <w:spacing w:val="0"/>
                <w:w w:val="100"/>
                <w:sz w:val="18"/>
                <w:szCs w:val="18"/>
                <w:vertAlign w:val="baseline"/>
              </w:rPr>
              <w:t>山钢日照安全态势感知主机防病毒，200</w:t>
            </w:r>
            <w:r>
              <w:rPr>
                <w:rFonts w:hint="eastAsia" w:ascii="仿宋_GB2312" w:hAnsi="仿宋_GB2312" w:eastAsia="仿宋_GB2312" w:cs="仿宋_GB2312"/>
                <w:b w:val="0"/>
                <w:bCs w:val="0"/>
                <w:i w:val="0"/>
                <w:iCs w:val="0"/>
                <w:color w:val="000000"/>
                <w:spacing w:val="0"/>
                <w:w w:val="100"/>
                <w:sz w:val="18"/>
                <w:szCs w:val="18"/>
                <w:vertAlign w:val="baseline"/>
                <w:lang w:val="en-US" w:eastAsia="zh-CN"/>
              </w:rPr>
              <w:t>个</w:t>
            </w:r>
            <w:r>
              <w:rPr>
                <w:rFonts w:hint="eastAsia" w:ascii="仿宋_GB2312" w:hAnsi="仿宋_GB2312" w:eastAsia="仿宋_GB2312" w:cs="仿宋_GB2312"/>
                <w:b w:val="0"/>
                <w:bCs w:val="0"/>
                <w:i w:val="0"/>
                <w:iCs w:val="0"/>
                <w:color w:val="000000"/>
                <w:spacing w:val="0"/>
                <w:w w:val="100"/>
                <w:sz w:val="18"/>
                <w:szCs w:val="18"/>
                <w:vertAlign w:val="baseline"/>
              </w:rPr>
              <w:t>宝之云主机</w:t>
            </w:r>
            <w:r>
              <w:rPr>
                <w:rFonts w:hint="eastAsia" w:ascii="仿宋_GB2312" w:hAnsi="仿宋_GB2312" w:eastAsia="仿宋_GB2312" w:cs="仿宋_GB2312"/>
                <w:b w:val="0"/>
                <w:bCs w:val="0"/>
                <w:i w:val="0"/>
                <w:iCs w:val="0"/>
                <w:color w:val="000000"/>
                <w:spacing w:val="0"/>
                <w:w w:val="100"/>
                <w:sz w:val="18"/>
                <w:szCs w:val="18"/>
                <w:vertAlign w:val="baseline"/>
                <w:lang w:val="en-US" w:eastAsia="zh-CN"/>
              </w:rPr>
              <w:t>防病毒授权及运营</w:t>
            </w:r>
          </w:p>
        </w:tc>
        <w:tc>
          <w:tcPr>
            <w:tcW w:w="1193" w:type="pct"/>
            <w:vMerge w:val="continue"/>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68"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安全态势感知监测服务-云下流量</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流量探针共2台，覆盖云节点网络区域与专线出口区域</w:t>
            </w:r>
          </w:p>
        </w:tc>
        <w:tc>
          <w:tcPr>
            <w:tcW w:w="1193" w:type="pct"/>
            <w:vMerge w:val="continue"/>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68" w:type="pc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数据安全服务</w:t>
            </w: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数据脱敏服务</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提供数据库静态脱敏平台软件资源；配置敏感数据识别规则，根据规则自动识别数据源中敏感数据，并根据需求和业务场景变化持续进行调整和优化。</w:t>
            </w:r>
          </w:p>
        </w:tc>
        <w:tc>
          <w:tcPr>
            <w:tcW w:w="1193"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b w:val="0"/>
                <w:bCs w:val="0"/>
                <w:i w:val="0"/>
                <w:iCs w:val="0"/>
                <w:color w:val="000000"/>
                <w:spacing w:val="0"/>
                <w:w w:val="100"/>
                <w:sz w:val="18"/>
                <w:szCs w:val="1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68" w:type="pct"/>
            <w:tcBorders>
              <w:top w:val="single" w:color="000000" w:sz="2" w:space="0"/>
              <w:left w:val="single" w:color="000000" w:sz="8" w:space="0"/>
              <w:bottom w:val="single" w:color="000000" w:sz="2"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b w:val="0"/>
                <w:bCs w:val="0"/>
                <w:i w:val="0"/>
                <w:iCs w:val="0"/>
                <w:color w:val="000000"/>
                <w:spacing w:val="0"/>
                <w:w w:val="100"/>
                <w:sz w:val="18"/>
                <w:szCs w:val="18"/>
                <w:highlight w:val="none"/>
                <w:vertAlign w:val="baseline"/>
              </w:rPr>
              <w:t>系统安全合规检查服务</w:t>
            </w:r>
          </w:p>
        </w:tc>
        <w:tc>
          <w:tcPr>
            <w:tcW w:w="1038" w:type="pct"/>
            <w:tcBorders>
              <w:top w:val="single" w:color="000000" w:sz="2" w:space="0"/>
              <w:left w:val="single" w:color="000000" w:sz="2" w:space="0"/>
              <w:bottom w:val="single" w:color="000000" w:sz="2"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b w:val="0"/>
                <w:bCs w:val="0"/>
                <w:i w:val="0"/>
                <w:iCs w:val="0"/>
                <w:color w:val="000000"/>
                <w:spacing w:val="0"/>
                <w:w w:val="100"/>
                <w:sz w:val="18"/>
                <w:szCs w:val="18"/>
                <w:highlight w:val="none"/>
                <w:vertAlign w:val="baseline"/>
              </w:rPr>
              <w:t>系统安全合规检查服务</w:t>
            </w:r>
          </w:p>
        </w:tc>
        <w:tc>
          <w:tcPr>
            <w:tcW w:w="2199" w:type="pct"/>
            <w:tcBorders>
              <w:top w:val="single" w:color="000000" w:sz="2" w:space="0"/>
              <w:left w:val="single" w:color="000000" w:sz="2" w:space="0"/>
              <w:bottom w:val="single" w:color="000000" w:sz="2"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b w:val="0"/>
                <w:bCs w:val="0"/>
                <w:i w:val="0"/>
                <w:iCs w:val="0"/>
                <w:color w:val="000000"/>
                <w:spacing w:val="0"/>
                <w:w w:val="100"/>
                <w:sz w:val="18"/>
                <w:szCs w:val="18"/>
                <w:highlight w:val="none"/>
                <w:vertAlign w:val="baseline"/>
              </w:rPr>
              <w:t>在约定时间和范围内，对检化验系统、属地专业分析系统、调度管控系统、企业总线系统、制造管理系统及工业互联网平台进行一次人工渗透测试及代码安全审计，并在整改结束后提供一次安全合规检查复测。</w:t>
            </w:r>
          </w:p>
        </w:tc>
        <w:tc>
          <w:tcPr>
            <w:tcW w:w="1193" w:type="pct"/>
            <w:tcBorders>
              <w:top w:val="single" w:color="000000" w:sz="2" w:space="0"/>
              <w:left w:val="single" w:color="000000" w:sz="2" w:space="0"/>
              <w:bottom w:val="single" w:color="000000" w:sz="2"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18"/>
                <w:szCs w:val="18"/>
                <w:highlight w:val="none"/>
              </w:rPr>
            </w:pPr>
            <w:r>
              <w:rPr>
                <w:rFonts w:hint="eastAsia" w:ascii="仿宋_GB2312" w:hAnsi="仿宋_GB2312" w:eastAsia="仿宋_GB2312" w:cs="仿宋_GB2312"/>
                <w:b w:val="0"/>
                <w:bCs w:val="0"/>
                <w:i w:val="0"/>
                <w:iCs w:val="0"/>
                <w:color w:val="000000"/>
                <w:spacing w:val="0"/>
                <w:w w:val="100"/>
                <w:sz w:val="18"/>
                <w:szCs w:val="18"/>
                <w:highlight w:val="none"/>
                <w:vertAlign w:val="baseline"/>
              </w:rPr>
              <w:t>《系统安全合规检查报告》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568" w:type="pc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pPr>
            <w:r>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t>技术支持</w:t>
            </w:r>
          </w:p>
        </w:tc>
        <w:tc>
          <w:tcPr>
            <w:tcW w:w="1038"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i w:val="0"/>
                <w:iCs w:val="0"/>
                <w:color w:val="000000"/>
                <w:spacing w:val="0"/>
                <w:w w:val="100"/>
                <w:sz w:val="18"/>
                <w:szCs w:val="18"/>
                <w:highlight w:val="none"/>
                <w:vertAlign w:val="baseline"/>
              </w:rPr>
            </w:pPr>
            <w:r>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t>技术支持服务</w:t>
            </w:r>
          </w:p>
        </w:tc>
        <w:tc>
          <w:tcPr>
            <w:tcW w:w="2199"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40" w:lineRule="auto"/>
              <w:ind w:left="0" w:right="0"/>
              <w:jc w:val="both"/>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t>1）</w:t>
            </w:r>
            <w:r>
              <w:rPr>
                <w:rFonts w:hint="eastAsia" w:ascii="仿宋_GB2312" w:hAnsi="仿宋_GB2312" w:eastAsia="仿宋_GB2312" w:cs="仿宋_GB2312"/>
                <w:b w:val="0"/>
                <w:bCs w:val="0"/>
                <w:i w:val="0"/>
                <w:iCs w:val="0"/>
                <w:color w:val="000000"/>
                <w:spacing w:val="0"/>
                <w:w w:val="100"/>
                <w:sz w:val="18"/>
                <w:szCs w:val="18"/>
                <w:highlight w:val="none"/>
                <w:vertAlign w:val="baseline"/>
              </w:rPr>
              <w:t>等级保护评审支持，如：提供审计数据（应用访问人员审计、登录审计等），以及演示授权功能。</w:t>
            </w:r>
          </w:p>
          <w:p>
            <w:pPr>
              <w:pStyle w:val="14"/>
              <w:keepNext w:val="0"/>
              <w:keepLines w:val="0"/>
              <w:widowControl/>
              <w:suppressLineNumbers w:val="0"/>
              <w:spacing w:before="0" w:beforeAutospacing="0" w:after="0" w:afterAutospacing="0" w:line="240" w:lineRule="auto"/>
              <w:ind w:left="0" w:right="0"/>
              <w:jc w:val="both"/>
              <w:rPr>
                <w:rFonts w:hint="eastAsia" w:ascii="仿宋_GB2312" w:hAnsi="仿宋_GB2312" w:eastAsia="仿宋_GB2312" w:cs="仿宋_GB2312"/>
                <w:b w:val="0"/>
                <w:bCs w:val="0"/>
                <w:i w:val="0"/>
                <w:iCs w:val="0"/>
                <w:color w:val="000000"/>
                <w:spacing w:val="0"/>
                <w:w w:val="100"/>
                <w:sz w:val="18"/>
                <w:szCs w:val="18"/>
                <w:highlight w:val="none"/>
                <w:vertAlign w:val="baseline"/>
                <w:lang w:eastAsia="zh-CN"/>
              </w:rPr>
            </w:pPr>
            <w:r>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t>2</w:t>
            </w:r>
            <w:r>
              <w:rPr>
                <w:rFonts w:hint="eastAsia" w:ascii="仿宋_GB2312" w:hAnsi="仿宋_GB2312" w:eastAsia="仿宋_GB2312" w:cs="仿宋_GB2312"/>
                <w:b w:val="0"/>
                <w:bCs w:val="0"/>
                <w:i w:val="0"/>
                <w:iCs w:val="0"/>
                <w:color w:val="000000"/>
                <w:spacing w:val="0"/>
                <w:w w:val="100"/>
                <w:sz w:val="18"/>
                <w:szCs w:val="18"/>
                <w:highlight w:val="none"/>
                <w:vertAlign w:val="baseline"/>
              </w:rPr>
              <w:t>)攻防演练支持</w:t>
            </w:r>
            <w:r>
              <w:rPr>
                <w:rFonts w:hint="eastAsia" w:ascii="仿宋_GB2312" w:hAnsi="仿宋_GB2312" w:eastAsia="仿宋_GB2312" w:cs="仿宋_GB2312"/>
                <w:b w:val="0"/>
                <w:bCs w:val="0"/>
                <w:i w:val="0"/>
                <w:iCs w:val="0"/>
                <w:color w:val="000000"/>
                <w:spacing w:val="0"/>
                <w:w w:val="100"/>
                <w:sz w:val="18"/>
                <w:szCs w:val="18"/>
                <w:highlight w:val="none"/>
                <w:vertAlign w:val="baseline"/>
                <w:lang w:eastAsia="zh-CN"/>
              </w:rPr>
              <w:t>；</w:t>
            </w:r>
          </w:p>
          <w:p>
            <w:pPr>
              <w:pStyle w:val="14"/>
              <w:keepNext w:val="0"/>
              <w:keepLines w:val="0"/>
              <w:widowControl/>
              <w:suppressLineNumbers w:val="0"/>
              <w:spacing w:before="0" w:beforeAutospacing="0" w:after="0" w:afterAutospacing="0" w:line="240" w:lineRule="auto"/>
              <w:ind w:left="0" w:right="0"/>
              <w:jc w:val="both"/>
              <w:rPr>
                <w:rFonts w:hint="eastAsia" w:ascii="仿宋_GB2312" w:hAnsi="仿宋_GB2312" w:eastAsia="仿宋_GB2312" w:cs="仿宋_GB2312"/>
                <w:b w:val="0"/>
                <w:bCs w:val="0"/>
                <w:i w:val="0"/>
                <w:iCs w:val="0"/>
                <w:color w:val="000000"/>
                <w:spacing w:val="0"/>
                <w:w w:val="100"/>
                <w:sz w:val="18"/>
                <w:szCs w:val="18"/>
                <w:highlight w:val="none"/>
                <w:vertAlign w:val="baseline"/>
              </w:rPr>
            </w:pPr>
            <w:r>
              <w:rPr>
                <w:rFonts w:hint="eastAsia" w:ascii="仿宋_GB2312" w:hAnsi="仿宋_GB2312" w:eastAsia="仿宋_GB2312" w:cs="仿宋_GB2312"/>
                <w:b w:val="0"/>
                <w:bCs w:val="0"/>
                <w:i w:val="0"/>
                <w:iCs w:val="0"/>
                <w:color w:val="000000"/>
                <w:spacing w:val="0"/>
                <w:w w:val="100"/>
                <w:sz w:val="18"/>
                <w:szCs w:val="18"/>
                <w:highlight w:val="none"/>
                <w:vertAlign w:val="baseline"/>
                <w:lang w:val="en-US" w:eastAsia="zh-CN"/>
              </w:rPr>
              <w:t>3）平台漏洞修复。</w:t>
            </w:r>
          </w:p>
        </w:tc>
        <w:tc>
          <w:tcPr>
            <w:tcW w:w="1193"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i w:val="0"/>
                <w:iCs w:val="0"/>
                <w:color w:val="000000"/>
                <w:spacing w:val="0"/>
                <w:w w:val="100"/>
                <w:sz w:val="18"/>
                <w:szCs w:val="18"/>
                <w:highlight w:val="yellow"/>
                <w:vertAlign w:val="baseline"/>
              </w:rPr>
            </w:pPr>
          </w:p>
        </w:tc>
      </w:tr>
    </w:tbl>
    <w:p>
      <w:pPr>
        <w:spacing w:line="560" w:lineRule="exact"/>
        <w:rPr>
          <w:rFonts w:hint="default"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3.宝联登工业互联网平台服务内容</w:t>
      </w:r>
    </w:p>
    <w:p>
      <w:pPr>
        <w:pStyle w:val="14"/>
        <w:keepNext w:val="0"/>
        <w:keepLines w:val="0"/>
        <w:widowControl/>
        <w:suppressLineNumbers w:val="0"/>
        <w:spacing w:before="0" w:beforeAutospacing="0" w:after="0" w:afterAutospacing="0" w:line="440" w:lineRule="exact"/>
        <w:ind w:left="0" w:right="0" w:firstLine="420"/>
        <w:jc w:val="both"/>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提供“工业互联网平台”的应用软件运维服务，具体服务内容如下：</w:t>
      </w:r>
    </w:p>
    <w:p>
      <w:pPr>
        <w:pStyle w:val="14"/>
        <w:keepNext w:val="0"/>
        <w:keepLines w:val="0"/>
        <w:widowControl/>
        <w:suppressLineNumbers w:val="0"/>
        <w:spacing w:before="0" w:beforeAutospacing="0" w:after="0" w:afterAutospacing="0" w:line="440" w:lineRule="exact"/>
        <w:ind w:left="0" w:right="0" w:firstLine="420"/>
        <w:jc w:val="both"/>
        <w:rPr>
          <w:rFonts w:hint="eastAsia" w:ascii="仿宋" w:hAnsi="仿宋" w:eastAsia="仿宋" w:cs="仿宋"/>
          <w:b w:val="0"/>
          <w:bCs w:val="0"/>
          <w:i w:val="0"/>
          <w:iCs w:val="0"/>
          <w:color w:val="000000"/>
          <w:spacing w:val="0"/>
          <w:w w:val="100"/>
          <w:sz w:val="28"/>
          <w:szCs w:val="28"/>
          <w:vertAlign w:val="baseline"/>
        </w:rPr>
      </w:pP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75"/>
        <w:gridCol w:w="571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服务名称</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spacing w:val="0"/>
                <w:w w:val="100"/>
                <w:sz w:val="21"/>
                <w:szCs w:val="21"/>
                <w:vertAlign w:val="baseline"/>
              </w:rPr>
              <w:t>服务范围</w:t>
            </w:r>
          </w:p>
        </w:tc>
        <w:tc>
          <w:tcPr>
            <w:tcW w:w="1082" w:type="pct"/>
            <w:noWrap w:val="0"/>
            <w:tcMar>
              <w:top w:w="0" w:type="dxa"/>
              <w:left w:w="108" w:type="dxa"/>
              <w:bottom w:w="0" w:type="dxa"/>
              <w:right w:w="108" w:type="dxa"/>
            </w:tcMar>
            <w:vAlign w:val="top"/>
          </w:tcPr>
          <w:p>
            <w:pPr>
              <w:pStyle w:val="14"/>
              <w:keepNext w:val="0"/>
              <w:keepLines w:val="0"/>
              <w:widowControl/>
              <w:suppressLineNumbers w:val="0"/>
              <w:spacing w:before="0" w:beforeAutospacing="0" w:after="0" w:afterAutospacing="0" w:line="20" w:lineRule="atLeast"/>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i w:val="0"/>
                <w:iCs w:val="0"/>
                <w:color w:val="000000"/>
                <w:spacing w:val="0"/>
                <w:w w:val="100"/>
                <w:sz w:val="21"/>
                <w:szCs w:val="21"/>
                <w:vertAlign w:val="baseline"/>
              </w:rPr>
              <w:t>服务交付</w:t>
            </w:r>
            <w:r>
              <w:rPr>
                <w:rFonts w:hint="eastAsia" w:ascii="仿宋_GB2312" w:hAnsi="仿宋_GB2312" w:eastAsia="仿宋_GB2312" w:cs="仿宋_GB2312"/>
                <w:b/>
                <w:bCs/>
                <w:i w:val="0"/>
                <w:iCs w:val="0"/>
                <w:color w:val="000000"/>
                <w:spacing w:val="0"/>
                <w:w w:val="100"/>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日常支持</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1)平台事件的受理与处理，如：电文收发异常问题支持，移动基座下载安装及登录问题支持。</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2)定期开展预防维护工作等。</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 xml:space="preserve">3)异常状态及紧急情况下呼出和汇报。 </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4)整理常见问题处理手册编制、完善系统预防性维护方案并组织实施。</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《日常支持运维清单》</w:t>
            </w:r>
            <w:r>
              <w:rPr>
                <w:rFonts w:hint="eastAsia" w:ascii="仿宋_GB2312" w:hAnsi="仿宋_GB2312" w:eastAsia="仿宋_GB2312" w:cs="仿宋_GB2312"/>
                <w:b w:val="0"/>
                <w:bCs w:val="0"/>
                <w:i w:val="0"/>
                <w:iCs w:val="0"/>
                <w:color w:val="000000"/>
                <w:spacing w:val="0"/>
                <w:w w:val="100"/>
                <w:sz w:val="21"/>
                <w:szCs w:val="21"/>
                <w:vertAlign w:val="baseline"/>
              </w:rPr>
              <w:br w:type="textWrapping"/>
            </w:r>
            <w:r>
              <w:rPr>
                <w:rFonts w:hint="eastAsia" w:ascii="仿宋_GB2312" w:hAnsi="仿宋_GB2312" w:eastAsia="仿宋_GB2312" w:cs="仿宋_GB2312"/>
                <w:b w:val="0"/>
                <w:bCs w:val="0"/>
                <w:i w:val="0"/>
                <w:iCs w:val="0"/>
                <w:color w:val="000000"/>
                <w:spacing w:val="0"/>
                <w:w w:val="100"/>
                <w:sz w:val="21"/>
                <w:szCs w:val="21"/>
                <w:vertAlign w:val="baseline"/>
              </w:rPr>
              <w:t>《常见问题处理手册》</w:t>
            </w:r>
            <w:r>
              <w:rPr>
                <w:rFonts w:hint="eastAsia" w:ascii="仿宋_GB2312" w:hAnsi="仿宋_GB2312" w:eastAsia="仿宋_GB2312" w:cs="仿宋_GB2312"/>
                <w:b w:val="0"/>
                <w:bCs w:val="0"/>
                <w:i w:val="0"/>
                <w:iCs w:val="0"/>
                <w:color w:val="000000"/>
                <w:spacing w:val="0"/>
                <w:w w:val="100"/>
                <w:sz w:val="21"/>
                <w:szCs w:val="21"/>
                <w:vertAlign w:val="baseline"/>
              </w:rPr>
              <w:br w:type="textWrapping"/>
            </w:r>
            <w:r>
              <w:rPr>
                <w:rFonts w:hint="eastAsia" w:ascii="仿宋_GB2312" w:hAnsi="仿宋_GB2312" w:eastAsia="仿宋_GB2312" w:cs="仿宋_GB2312"/>
                <w:b w:val="0"/>
                <w:bCs w:val="0"/>
                <w:i w:val="0"/>
                <w:iCs w:val="0"/>
                <w:color w:val="000000"/>
                <w:spacing w:val="0"/>
                <w:w w:val="100"/>
                <w:sz w:val="21"/>
                <w:szCs w:val="21"/>
                <w:vertAlign w:val="baseline"/>
              </w:rPr>
              <w:t>《预防性维护方案》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平台管理</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1)账号管理：账号导入、密码重置、账号锁定、账号信息维护（手机号、邮箱）、密码复杂度策略调整。</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2)应用管理：ePlat登记和审批系统、应用登记审批。</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故障处理</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按照常见问题处理手册对消息中心电文堵塞等常见问题进行处理。</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《故障报告》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预防性维护</w:t>
            </w:r>
          </w:p>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1)根据平台自身功能的点检规程，对平台功能进行定期点检。如：账号同步状态检查、消息队列状态检查、平台日志采集状态检查、定时作业状态检查、平台服务运行效率检查。</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2)解决应用问题，并写明处理步骤。</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3)整理问题处理手册。</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4)当平台发生突发性故障或系统崩溃时，承担平台的恢复工作。</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5)编制、完善系统预防性维护方案并组织实施。</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6)整理、完善操作平台自身功能的点检及操作规程。</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7)制定系统的紧急预案并进行测试演练，确保预案的有效性和可行性。</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《点检报告》</w:t>
            </w:r>
            <w:r>
              <w:rPr>
                <w:rFonts w:hint="eastAsia" w:ascii="仿宋_GB2312" w:hAnsi="仿宋_GB2312" w:eastAsia="仿宋_GB2312" w:cs="仿宋_GB2312"/>
                <w:b w:val="0"/>
                <w:bCs w:val="0"/>
                <w:i w:val="0"/>
                <w:iCs w:val="0"/>
                <w:color w:val="000000"/>
                <w:spacing w:val="0"/>
                <w:w w:val="100"/>
                <w:sz w:val="21"/>
                <w:szCs w:val="21"/>
                <w:highlight w:val="none"/>
                <w:vertAlign w:val="baseline"/>
                <w:lang w:eastAsia="zh-CN"/>
              </w:rPr>
              <w:t>（</w:t>
            </w:r>
            <w:r>
              <w:rPr>
                <w:rFonts w:hint="eastAsia" w:ascii="仿宋_GB2312" w:hAnsi="仿宋_GB2312" w:eastAsia="仿宋_GB2312" w:cs="仿宋_GB2312"/>
                <w:b w:val="0"/>
                <w:bCs w:val="0"/>
                <w:i w:val="0"/>
                <w:iCs w:val="0"/>
                <w:color w:val="000000"/>
                <w:spacing w:val="0"/>
                <w:w w:val="100"/>
                <w:sz w:val="21"/>
                <w:szCs w:val="21"/>
                <w:highlight w:val="none"/>
                <w:vertAlign w:val="baseline"/>
                <w:lang w:val="en-US" w:eastAsia="zh-CN"/>
              </w:rPr>
              <w:t>季度</w:t>
            </w:r>
            <w:r>
              <w:rPr>
                <w:rFonts w:hint="eastAsia" w:ascii="仿宋_GB2312" w:hAnsi="仿宋_GB2312" w:eastAsia="仿宋_GB2312" w:cs="仿宋_GB2312"/>
                <w:b w:val="0"/>
                <w:bCs w:val="0"/>
                <w:i w:val="0"/>
                <w:iCs w:val="0"/>
                <w:color w:val="000000"/>
                <w:spacing w:val="0"/>
                <w:w w:val="10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适应性维护</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1)平台补丁发布实施。</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2)对软件安全漏洞，制定软件漏洞修复方案、实施安全加固。</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3)配置管理：配置及环境变量变更，如：邮箱服务器、缓存服务器等。</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《漏洞修复方案》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改善性维护</w:t>
            </w:r>
          </w:p>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lang w:val="en-US"/>
              </w:rPr>
              <w:t> </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根据甲方实际业务需求的变化，对平台现状作出评估报告，提出改善建议。</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i w:val="0"/>
                <w:iCs w:val="0"/>
                <w:color w:val="000000"/>
                <w:spacing w:val="0"/>
                <w:w w:val="100"/>
                <w:sz w:val="21"/>
                <w:szCs w:val="21"/>
                <w:vertAlign w:val="baseline"/>
              </w:rPr>
              <w:t>《现状评估报告》</w:t>
            </w:r>
            <w:r>
              <w:rPr>
                <w:rFonts w:hint="eastAsia" w:ascii="仿宋_GB2312" w:hAnsi="仿宋_GB2312" w:eastAsia="仿宋_GB2312" w:cs="仿宋_GB2312"/>
                <w:b w:val="0"/>
                <w:bCs w:val="0"/>
                <w:i w:val="0"/>
                <w:iCs w:val="0"/>
                <w:color w:val="000000"/>
                <w:spacing w:val="0"/>
                <w:w w:val="100"/>
                <w:sz w:val="21"/>
                <w:szCs w:val="21"/>
                <w:vertAlign w:val="baseline"/>
                <w:lang w:eastAsia="zh-CN"/>
              </w:rPr>
              <w:t>（</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按需</w:t>
            </w:r>
            <w:r>
              <w:rPr>
                <w:rFonts w:hint="eastAsia" w:ascii="仿宋_GB2312" w:hAnsi="仿宋_GB2312" w:eastAsia="仿宋_GB2312" w:cs="仿宋_GB2312"/>
                <w:b w:val="0"/>
                <w:bCs w:val="0"/>
                <w:i w:val="0"/>
                <w:iCs w:val="0"/>
                <w:color w:val="000000"/>
                <w:spacing w:val="0"/>
                <w:w w:val="10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技术支持</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1)对于应用在程序开发、应用发布过程中遇到和移动基座、4j直接相关的问题，提供技术支持。</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2)等级保护评审支持，如：提供审计数据（应用访问人员审计、登录审计等），以及演示授权功能。</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3)攻防演练支持，如：提供登录异常数据。</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4)针对框架安全漏洞，制定漏洞修复建议，提供修复过程中的技术支持工作。</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5)提供ePlat平台下开源中间件安全漏洞修复技术支持。</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olor w:val="000000"/>
                <w:spacing w:val="0"/>
                <w:w w:val="100"/>
                <w:sz w:val="21"/>
                <w:szCs w:val="21"/>
                <w:highlight w:val="none"/>
                <w:vertAlign w:val="baseline"/>
              </w:rPr>
              <w:t>注：有关漏洞修复工作，需事先由甲乙双方共同分析，评估对业务系统的整体影响，最终决定是否实施。</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《技术支持运维清单》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平台维护</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1)提供对重大故障和紧急故障处理的技术支持；</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2)审核重大故障处理方案；</w:t>
            </w:r>
          </w:p>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b w:val="0"/>
                <w:bCs w:val="0"/>
                <w:i w:val="0"/>
                <w:iCs w:val="0"/>
                <w:color w:val="000000"/>
                <w:spacing w:val="0"/>
                <w:w w:val="100"/>
                <w:sz w:val="21"/>
                <w:szCs w:val="21"/>
                <w:vertAlign w:val="baseline"/>
              </w:rPr>
              <w:t>3)平台程序性能优化、功能变更(如审批流程节点的调整等)、现有功能模块BUG修复，并提供发布产物。</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相应报告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759"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b w:val="0"/>
                <w:bCs w:val="0"/>
                <w:i w:val="0"/>
                <w:iCs w:val="0"/>
                <w:color w:val="000000"/>
                <w:spacing w:val="0"/>
                <w:w w:val="100"/>
                <w:sz w:val="21"/>
                <w:szCs w:val="21"/>
                <w:vertAlign w:val="baseline"/>
                <w:lang w:val="en-US" w:eastAsia="zh-CN"/>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培训</w:t>
            </w:r>
          </w:p>
        </w:tc>
        <w:tc>
          <w:tcPr>
            <w:tcW w:w="3157"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b w:val="0"/>
                <w:bCs w:val="0"/>
                <w:i w:val="0"/>
                <w:iCs w:val="0"/>
                <w:color w:val="000000"/>
                <w:spacing w:val="0"/>
                <w:w w:val="100"/>
                <w:sz w:val="21"/>
                <w:szCs w:val="21"/>
                <w:vertAlign w:val="baseline"/>
                <w:lang w:val="en-US" w:eastAsia="zh-CN"/>
              </w:rPr>
            </w:pP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提供系统化培训。</w:t>
            </w:r>
          </w:p>
        </w:tc>
        <w:tc>
          <w:tcPr>
            <w:tcW w:w="1082" w:type="pct"/>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line="440" w:lineRule="exact"/>
              <w:ind w:left="0" w:right="0"/>
              <w:jc w:val="both"/>
              <w:rPr>
                <w:rFonts w:hint="eastAsia" w:ascii="仿宋_GB2312" w:hAnsi="仿宋_GB2312" w:eastAsia="仿宋_GB2312" w:cs="仿宋_GB2312"/>
                <w:b w:val="0"/>
                <w:bCs w:val="0"/>
                <w:i w:val="0"/>
                <w:iCs w:val="0"/>
                <w:color w:val="000000"/>
                <w:spacing w:val="0"/>
                <w:w w:val="100"/>
                <w:sz w:val="21"/>
                <w:szCs w:val="21"/>
                <w:vertAlign w:val="baseline"/>
              </w:rPr>
            </w:pPr>
          </w:p>
        </w:tc>
      </w:tr>
    </w:tbl>
    <w:p>
      <w:pPr>
        <w:pStyle w:val="14"/>
        <w:keepNext w:val="0"/>
        <w:keepLines w:val="0"/>
        <w:widowControl/>
        <w:suppressLineNumbers w:val="0"/>
        <w:spacing w:before="0" w:beforeAutospacing="0" w:after="0" w:afterAutospacing="0" w:line="34" w:lineRule="atLeast"/>
        <w:ind w:left="0" w:right="0" w:firstLine="531"/>
        <w:jc w:val="center"/>
        <w:rPr>
          <w:rFonts w:hint="eastAsia" w:ascii="宋体" w:hAnsi="宋体" w:eastAsia="宋体" w:cs="宋体"/>
          <w:b/>
          <w:bCs/>
          <w:i w:val="0"/>
          <w:iCs w:val="0"/>
          <w:color w:val="000000"/>
          <w:spacing w:val="0"/>
          <w:w w:val="100"/>
          <w:sz w:val="28"/>
          <w:szCs w:val="28"/>
          <w:vertAlign w:val="baseline"/>
        </w:rPr>
      </w:pPr>
    </w:p>
    <w:p>
      <w:pPr>
        <w:pStyle w:val="14"/>
        <w:keepNext w:val="0"/>
        <w:keepLines w:val="0"/>
        <w:widowControl/>
        <w:suppressLineNumbers w:val="0"/>
        <w:spacing w:before="0" w:beforeAutospacing="0" w:after="0" w:afterAutospacing="0" w:line="34" w:lineRule="atLeast"/>
        <w:ind w:left="0" w:right="0" w:firstLine="531"/>
        <w:jc w:val="center"/>
        <w:rPr>
          <w:rFonts w:hint="eastAsia" w:ascii="宋体" w:hAnsi="宋体" w:eastAsia="宋体" w:cs="宋体"/>
          <w:b/>
          <w:bCs/>
          <w:i w:val="0"/>
          <w:iCs w:val="0"/>
          <w:color w:val="000000"/>
          <w:spacing w:val="0"/>
          <w:w w:val="100"/>
          <w:sz w:val="28"/>
          <w:szCs w:val="28"/>
          <w:vertAlign w:val="baseline"/>
        </w:rPr>
      </w:pPr>
    </w:p>
    <w:p>
      <w:pPr>
        <w:spacing w:line="560" w:lineRule="exact"/>
        <w:rPr>
          <w:rFonts w:hint="default"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4.人力资源BWHR服务内容</w:t>
      </w:r>
    </w:p>
    <w:p>
      <w:pPr>
        <w:pStyle w:val="14"/>
        <w:keepNext w:val="0"/>
        <w:keepLines w:val="0"/>
        <w:widowControl/>
        <w:numPr>
          <w:ilvl w:val="0"/>
          <w:numId w:val="0"/>
        </w:numPr>
        <w:suppressLineNumbers w:val="0"/>
        <w:spacing w:before="0" w:beforeAutospacing="0" w:after="0" w:afterAutospacing="0" w:line="34" w:lineRule="atLeast"/>
        <w:ind w:right="0" w:rightChars="0"/>
        <w:jc w:val="both"/>
        <w:rPr>
          <w:rFonts w:hint="eastAsia" w:ascii="宋体" w:hAnsi="宋体" w:eastAsia="宋体" w:cs="宋体"/>
          <w:b/>
          <w:bCs/>
          <w:i w:val="0"/>
          <w:iCs w:val="0"/>
          <w:color w:val="000000"/>
          <w:spacing w:val="0"/>
          <w:w w:val="100"/>
          <w:sz w:val="28"/>
          <w:szCs w:val="28"/>
          <w:vertAlign w:val="baseline"/>
          <w:lang w:val="en-US" w:eastAsia="zh-CN"/>
        </w:r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24"/>
        <w:gridCol w:w="1969"/>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功能模块</w:t>
            </w:r>
          </w:p>
        </w:tc>
        <w:tc>
          <w:tcPr>
            <w:tcW w:w="1087" w:type="pct"/>
            <w:tcBorders>
              <w:top w:val="single" w:color="000000" w:sz="8" w:space="0"/>
              <w:left w:val="single" w:color="000000" w:sz="2" w:space="0"/>
              <w:bottom w:val="single" w:color="000000" w:sz="8" w:space="0"/>
              <w:right w:val="single" w:color="000000" w:sz="8" w:space="0"/>
            </w:tcBorders>
            <w:shd w:val="clear" w:color="auto" w:fill="D9D9D9"/>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功能点</w:t>
            </w:r>
          </w:p>
        </w:tc>
        <w:tc>
          <w:tcPr>
            <w:tcW w:w="3126" w:type="pct"/>
            <w:tcBorders>
              <w:top w:val="single" w:color="000000" w:sz="8" w:space="0"/>
              <w:left w:val="single" w:color="000000" w:sz="2" w:space="0"/>
              <w:bottom w:val="single" w:color="000000" w:sz="8" w:space="0"/>
              <w:right w:val="single" w:color="000000" w:sz="8" w:space="0"/>
            </w:tcBorders>
            <w:shd w:val="clear" w:color="auto" w:fill="D9D9D9"/>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bCs/>
                <w:sz w:val="18"/>
                <w:szCs w:val="18"/>
              </w:rPr>
            </w:pPr>
            <w:r>
              <w:rPr>
                <w:rFonts w:hint="eastAsia" w:ascii="方正仿宋_GB2312" w:hAnsi="方正仿宋_GB2312" w:eastAsia="方正仿宋_GB2312" w:cs="方正仿宋_GB2312"/>
                <w:b/>
                <w:bCs/>
                <w:i w:val="0"/>
                <w:iCs w:val="0"/>
                <w:color w:val="000000"/>
                <w:spacing w:val="0"/>
                <w:w w:val="100"/>
                <w:sz w:val="18"/>
                <w:szCs w:val="18"/>
                <w:vertAlign w:val="baseline"/>
              </w:rPr>
              <w:t>功能</w:t>
            </w:r>
            <w:r>
              <w:rPr>
                <w:rFonts w:hint="eastAsia" w:ascii="方正仿宋_GB2312" w:hAnsi="方正仿宋_GB2312" w:eastAsia="方正仿宋_GB2312" w:cs="方正仿宋_GB2312"/>
                <w:b/>
                <w:bCs/>
                <w:i w:val="0"/>
                <w:iCs w:val="0"/>
                <w:color w:val="000000"/>
                <w:spacing w:val="0"/>
                <w:w w:val="100"/>
                <w:sz w:val="18"/>
                <w:szCs w:val="18"/>
                <w:vertAlign w:val="baseline"/>
                <w:lang w:val="en-US" w:eastAsia="zh-CN"/>
              </w:rPr>
              <w:t>服务</w:t>
            </w:r>
            <w:r>
              <w:rPr>
                <w:rFonts w:hint="eastAsia" w:ascii="方正仿宋_GB2312" w:hAnsi="方正仿宋_GB2312" w:eastAsia="方正仿宋_GB2312" w:cs="方正仿宋_GB2312"/>
                <w:b/>
                <w:bCs/>
                <w:i w:val="0"/>
                <w:iCs w:val="0"/>
                <w:color w:val="000000"/>
                <w:spacing w:val="0"/>
                <w:w w:val="100"/>
                <w:sz w:val="18"/>
                <w:szCs w:val="18"/>
                <w:vertAlign w:val="baseli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组织管理</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组织维护</w:t>
            </w:r>
          </w:p>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（行政域）</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维护组织机构的基本信息，扩展信息，查看变动记录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组织并转</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提供公司层组织机构的并转操作，划转方案生成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组织维护</w:t>
            </w:r>
          </w:p>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（人事域）</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维护机构的基本信息、扩展信息，查看变动记录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人员划转</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支撑组织机构人员、岗位的批量划转业务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机构划转</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支撑按机构进行整体的机构、岗位、人员的整体划转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组织机构同步</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同步行政域组织机构变动到人事域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核心人事</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标准岗位体系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按照统一标准的岗位分类、分层的管理规范，构建一套统一规范的标准岗位体系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公司岗位体系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各单位以集团统一规范定义的标准岗位体系为基准，通过关联、自定义的方式，实现各单位岗位体系的岗位序列、岗位层级、岗位的分类、分层弹性构建。并支撑岗位薪酬体系的构建。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定岗定编</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支撑业务上的岗位设定、编制定员设置业务。支持编制分布情况的超编、缺编、满编情况的分析与查询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花名册</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维护人员基本信息和扩展信息，同时还维护包括员工的教育经历、联系方式、紧急联系人、工作经历、家庭成员及社会关系、照片、语言能力、职业资格、特种作业、技能等级、劳动合同-协议、培训情况、奖惩情况、照片等，支撑业务上相关信息集的导入与导出，个人信息表单、个人简历的打印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高级搜索</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通过全域用户数据采集、标准化数据治理和智能算法计算，构建用户标签体系，并通过搜索引擎支撑人才的智能高级匹配搜索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在线核查</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根据内置核查规则设定，支持企业员工信息数据的完整度核查，并诊断出企业用工的健康度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工号分配</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支持通过系统方式，实现员工工号分配、企业工号段分配、新旧工号切换分配方案的规范设计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代码体系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构建统一的标准代码集定义以及代码分项定义。实现各个业务模块信息标准、业务规则统一规范使用。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院校库</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支撑维护方式对全球院校库进行扩展维护，并进行院校库标签标记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奖惩库</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支撑各级单位对各单位的奖惩信息库信息完善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入转调离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以员工职业发展“入转调离”流程为主线进行业务功能划分，主要包含：员工新进、员工入职、试用转正、岗位调整（员工调岗、员工外派、员工兼职、员工离岗）、员工调动、离职退休（员工离职、员工退休）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合同管理</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劳动合同管理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管理劳动合同信息，维护签订信息，提供劳动合同到期提醒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协议管理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维护协议记录信息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岗位聘书管理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维护岗位聘用书信息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薪酬福利管理</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标准薪酬体系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标准薪酬项目设置、标准考勤项目维护、标准人工成本树、标准标签设置、社保机构管理、集团参保方案、税表配置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公司薪酬体系</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公司考勤项目维护、薪酬参数配置、公司薪酬项目配置、公司人工成本配置、党费项目归类、薪级标准维护、薪级区间维护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薪酬基础配置</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工资单配置、汇总表配置、金融机构及报盘格式、卡用途及范围维护、算薪规则数据校验配置、功能配置项、业务对象授权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员工薪酬设置</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员工薪酬概览、员工基本信息维护、员工薪酬模式配置、员工银行卡信息维护、员工薪级信息维护、员工薪酬模式、薪级、薪酬项目、薪酬参数变动审核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算前数据导入</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专项附加导入、薪酬项目导入、奖金导入、补发补扣导入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薪资计算</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创建薪资组、核对计薪人员、同步考勤数据、确认薪酬数据、专项附加扣除、薪资计算、汇总计算、工资单计算、薪资发放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工资薪金管理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工资单重新计算、工资单发放、工资单明细查看、工资单汇总查看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社保福利</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政策查询、投保机构管理、意外险管理、参保方案管理、参保员工管理、集团内员工平均工资计算、平均工资核定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薪资报表</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薪资明细表、工资汇总表、奖金汇总表、奖金明细汇总表、现金清单表、社保汇总表、公积金汇总表、年金汇总表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个税专项抵扣管理</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个税管理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持纳税地域设置、不同纳税地域不同纳税区间的税率表配置、工资、薪金所得、劳务费、中长期激励的个税计算;支持各类特殊个税规则的配置，可支撑残疾人、烈属、外籍人士、税延养老等的个税减免（税前、税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专项附加扣除</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提供专项附加扣除数据导入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人工成本核算及在线支付管理</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成本管理</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财务管理维护发薪主体信息、帐套信息、供应商信息、机构与责任中心、薪酬与财务项目等信息，并通过账务处理完成工资、奖金计算后进行凭证生成以及报支生成，然后进行总账和报支清单的检验，检查无误后抛帐至标准财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银企直连</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支持批量操作多个薪资组点击薪资发放，生成银行报盘文件，或通过银企直联方式对接发放；提供银企直联发放监控功能；同时也提供落账后的处理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restart"/>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员工自助、移动服务平台</w:t>
            </w: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我的信息</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展示员工基本信息卡、简历导出、工作经历、教育及培训经历、素质能力、家庭信息、联系方式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全面薪酬</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提供当月薪酬明细、汇总显示、历年薪酬查询、社保福利缴费基数、缴费额度查询、专项附加扣除数据查询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工作台</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提供工作台配置、业务提醒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786" w:type="pct"/>
            <w:vMerge w:val="continue"/>
            <w:tcBorders>
              <w:top w:val="single" w:color="000000" w:sz="2"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rPr>
                <w:rFonts w:hint="eastAsia" w:ascii="方正仿宋_GB2312" w:hAnsi="方正仿宋_GB2312" w:eastAsia="方正仿宋_GB2312" w:cs="方正仿宋_GB2312"/>
                <w:b w:val="0"/>
                <w:bCs w:val="0"/>
                <w:sz w:val="18"/>
                <w:szCs w:val="18"/>
              </w:rPr>
            </w:pPr>
          </w:p>
        </w:tc>
        <w:tc>
          <w:tcPr>
            <w:tcW w:w="1087"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我的</w:t>
            </w:r>
          </w:p>
        </w:tc>
        <w:tc>
          <w:tcPr>
            <w:tcW w:w="3126" w:type="pct"/>
            <w:tcBorders>
              <w:top w:val="single" w:color="000000" w:sz="2" w:space="0"/>
              <w:left w:val="single" w:color="000000" w:sz="2" w:space="0"/>
              <w:bottom w:val="single" w:color="000000" w:sz="8" w:space="0"/>
              <w:right w:val="single" w:color="000000" w:sz="8"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显示个人基本信息、数字卡、功能图标（基本信息、家庭成员、全面薪酬、银行卡信息、证明信息、荣惩情况、技能信息、其他信息、绩效考核、工作经历）；</w:t>
            </w:r>
          </w:p>
          <w:p>
            <w:pPr>
              <w:pStyle w:val="14"/>
              <w:keepNext w:val="0"/>
              <w:keepLines w:val="0"/>
              <w:widowControl/>
              <w:suppressLineNumbers w:val="0"/>
              <w:spacing w:before="0" w:beforeAutospacing="0" w:after="0" w:afterAutospacing="0"/>
              <w:ind w:left="0" w:right="0"/>
              <w:jc w:val="both"/>
              <w:rPr>
                <w:rFonts w:hint="eastAsia" w:ascii="方正仿宋_GB2312" w:hAnsi="方正仿宋_GB2312" w:eastAsia="方正仿宋_GB2312" w:cs="方正仿宋_GB2312"/>
                <w:b w:val="0"/>
                <w:bCs w:val="0"/>
                <w:sz w:val="18"/>
                <w:szCs w:val="18"/>
              </w:rPr>
            </w:pPr>
            <w:r>
              <w:rPr>
                <w:rFonts w:hint="eastAsia" w:ascii="方正仿宋_GB2312" w:hAnsi="方正仿宋_GB2312" w:eastAsia="方正仿宋_GB2312" w:cs="方正仿宋_GB2312"/>
                <w:b w:val="0"/>
                <w:bCs w:val="0"/>
                <w:i w:val="0"/>
                <w:iCs w:val="0"/>
                <w:color w:val="000000"/>
                <w:spacing w:val="0"/>
                <w:w w:val="100"/>
                <w:sz w:val="18"/>
                <w:szCs w:val="18"/>
                <w:vertAlign w:val="baseline"/>
              </w:rPr>
              <w:t>全面薪酬、银行卡信息、证明信息、荣惩情况、技能信息、绩效考核</w:t>
            </w:r>
          </w:p>
        </w:tc>
      </w:tr>
    </w:tbl>
    <w:p>
      <w:pPr>
        <w:pStyle w:val="14"/>
        <w:keepNext w:val="0"/>
        <w:keepLines w:val="0"/>
        <w:widowControl/>
        <w:suppressLineNumbers w:val="0"/>
        <w:spacing w:before="0" w:beforeAutospacing="0" w:after="0" w:afterAutospacing="0" w:line="440" w:lineRule="exact"/>
        <w:ind w:left="0" w:right="0" w:firstLine="420"/>
        <w:jc w:val="both"/>
        <w:rPr>
          <w:rFonts w:hint="eastAsia" w:ascii="仿宋" w:hAnsi="仿宋" w:eastAsia="仿宋" w:cs="仿宋"/>
          <w:b w:val="0"/>
          <w:bCs w:val="0"/>
          <w:i w:val="0"/>
          <w:iCs w:val="0"/>
          <w:color w:val="000000"/>
          <w:spacing w:val="0"/>
          <w:w w:val="100"/>
          <w:sz w:val="28"/>
          <w:szCs w:val="28"/>
          <w:vertAlign w:val="baseline"/>
        </w:rPr>
      </w:pPr>
      <w:r>
        <w:rPr>
          <w:rFonts w:hint="eastAsia" w:ascii="仿宋" w:hAnsi="仿宋" w:eastAsia="仿宋" w:cs="仿宋"/>
          <w:b w:val="0"/>
          <w:bCs w:val="0"/>
          <w:i w:val="0"/>
          <w:iCs w:val="0"/>
          <w:color w:val="000000"/>
          <w:spacing w:val="0"/>
          <w:w w:val="100"/>
          <w:sz w:val="28"/>
          <w:szCs w:val="28"/>
          <w:vertAlign w:val="baseline"/>
        </w:rPr>
        <w:t>注：《人力资源BWHR服务内容明细清单》为本云服务产品迭代升级内容框架，产品相关功能内容会根据迭代计划进行更新</w:t>
      </w:r>
      <w:r>
        <w:rPr>
          <w:rFonts w:hint="eastAsia" w:ascii="仿宋" w:hAnsi="仿宋" w:eastAsia="仿宋" w:cs="仿宋"/>
          <w:b w:val="0"/>
          <w:bCs w:val="0"/>
          <w:i w:val="0"/>
          <w:iCs w:val="0"/>
          <w:color w:val="000000"/>
          <w:spacing w:val="0"/>
          <w:w w:val="100"/>
          <w:sz w:val="28"/>
          <w:szCs w:val="28"/>
          <w:vertAlign w:val="baseline"/>
          <w:lang w:eastAsia="zh-CN"/>
        </w:rPr>
        <w:t>，</w:t>
      </w:r>
      <w:r>
        <w:rPr>
          <w:rFonts w:hint="eastAsia" w:ascii="仿宋" w:hAnsi="仿宋" w:eastAsia="仿宋" w:cs="仿宋"/>
          <w:b w:val="0"/>
          <w:bCs w:val="0"/>
          <w:i w:val="0"/>
          <w:iCs w:val="0"/>
          <w:color w:val="000000"/>
          <w:spacing w:val="0"/>
          <w:w w:val="100"/>
          <w:sz w:val="28"/>
          <w:szCs w:val="28"/>
          <w:vertAlign w:val="baseline"/>
        </w:rPr>
        <w:t>本云服务不包含属地化专项建设（如属地版本：培训学习、专业协作、考勤管理、绩效管理、干部管理等）。</w:t>
      </w:r>
    </w:p>
    <w:p>
      <w:pPr>
        <w:pStyle w:val="14"/>
        <w:keepNext w:val="0"/>
        <w:keepLines w:val="0"/>
        <w:widowControl/>
        <w:numPr>
          <w:ilvl w:val="0"/>
          <w:numId w:val="1"/>
        </w:numPr>
        <w:suppressLineNumbers w:val="0"/>
        <w:spacing w:before="0" w:beforeAutospacing="0" w:after="0" w:afterAutospacing="0" w:line="440" w:lineRule="exact"/>
        <w:ind w:left="0" w:right="0" w:firstLine="420"/>
        <w:jc w:val="both"/>
        <w:rPr>
          <w:rFonts w:hint="eastAsia" w:ascii="仿宋" w:hAnsi="仿宋" w:eastAsia="仿宋" w:cs="仿宋"/>
          <w:b w:val="0"/>
          <w:bCs w:val="0"/>
          <w:i w:val="0"/>
          <w:iCs w:val="0"/>
          <w:color w:val="000000"/>
          <w:spacing w:val="0"/>
          <w:w w:val="100"/>
          <w:sz w:val="28"/>
          <w:szCs w:val="28"/>
          <w:vertAlign w:val="baseline"/>
          <w:lang w:val="en-US" w:eastAsia="zh-CN"/>
        </w:rPr>
      </w:pPr>
      <w:r>
        <w:rPr>
          <w:rFonts w:hint="eastAsia" w:ascii="仿宋" w:hAnsi="仿宋" w:eastAsia="仿宋" w:cs="仿宋"/>
          <w:b w:val="0"/>
          <w:bCs w:val="0"/>
          <w:i w:val="0"/>
          <w:iCs w:val="0"/>
          <w:color w:val="000000"/>
          <w:spacing w:val="0"/>
          <w:w w:val="100"/>
          <w:sz w:val="28"/>
          <w:szCs w:val="28"/>
          <w:vertAlign w:val="baseline"/>
          <w:lang w:val="en-US" w:eastAsia="zh-CN"/>
        </w:rPr>
        <w:t>OA</w:t>
      </w:r>
      <w:r>
        <w:rPr>
          <w:rFonts w:hint="eastAsia" w:ascii="仿宋_GB2312" w:hAnsi="仿宋" w:eastAsia="仿宋_GB2312" w:cs="Times New Roman"/>
          <w:sz w:val="28"/>
          <w:szCs w:val="32"/>
          <w:lang w:val="en-US" w:eastAsia="zh-CN"/>
        </w:rPr>
        <w:t>服务内容</w:t>
      </w:r>
    </w:p>
    <w:p>
      <w:pPr>
        <w:pStyle w:val="14"/>
        <w:keepNext w:val="0"/>
        <w:keepLines w:val="0"/>
        <w:widowControl/>
        <w:numPr>
          <w:ilvl w:val="-1"/>
          <w:numId w:val="0"/>
        </w:numPr>
        <w:suppressLineNumbers w:val="0"/>
        <w:spacing w:before="0" w:beforeAutospacing="0" w:after="0" w:afterAutospacing="0" w:line="440" w:lineRule="exact"/>
        <w:ind w:left="420" w:right="0" w:firstLine="0"/>
        <w:jc w:val="both"/>
        <w:rPr>
          <w:rFonts w:hint="default" w:ascii="仿宋" w:hAnsi="仿宋" w:eastAsia="仿宋" w:cs="仿宋"/>
          <w:b w:val="0"/>
          <w:bCs w:val="0"/>
          <w:i w:val="0"/>
          <w:iCs w:val="0"/>
          <w:color w:val="000000"/>
          <w:spacing w:val="0"/>
          <w:w w:val="100"/>
          <w:sz w:val="28"/>
          <w:szCs w:val="28"/>
          <w:vertAlign w:val="baseline"/>
          <w:lang w:val="en-US" w:eastAsia="zh-CN"/>
        </w:rPr>
      </w:pPr>
      <w:r>
        <w:rPr>
          <w:rFonts w:hint="eastAsia" w:ascii="仿宋" w:hAnsi="仿宋" w:eastAsia="仿宋" w:cs="仿宋"/>
          <w:b w:val="0"/>
          <w:bCs w:val="0"/>
          <w:i w:val="0"/>
          <w:iCs w:val="0"/>
          <w:color w:val="000000"/>
          <w:spacing w:val="0"/>
          <w:w w:val="100"/>
          <w:sz w:val="28"/>
          <w:szCs w:val="28"/>
          <w:vertAlign w:val="baseline"/>
          <w:lang w:val="en-US" w:eastAsia="zh-CN"/>
        </w:rPr>
        <w:t>提供门户、账号管理、</w:t>
      </w:r>
      <w:r>
        <w:rPr>
          <w:rFonts w:hint="default" w:ascii="仿宋" w:hAnsi="仿宋" w:eastAsia="仿宋" w:cs="仿宋"/>
          <w:b w:val="0"/>
          <w:bCs w:val="0"/>
          <w:i w:val="0"/>
          <w:iCs w:val="0"/>
          <w:color w:val="000000"/>
          <w:spacing w:val="0"/>
          <w:w w:val="100"/>
          <w:sz w:val="28"/>
          <w:szCs w:val="28"/>
          <w:vertAlign w:val="baseline"/>
          <w:lang w:val="en-US" w:eastAsia="zh-CN"/>
        </w:rPr>
        <w:t>公文、联络件、会签</w:t>
      </w:r>
      <w:r>
        <w:rPr>
          <w:rFonts w:hint="eastAsia" w:ascii="仿宋" w:hAnsi="仿宋" w:eastAsia="仿宋" w:cs="仿宋"/>
          <w:b w:val="0"/>
          <w:bCs w:val="0"/>
          <w:i w:val="0"/>
          <w:iCs w:val="0"/>
          <w:color w:val="000000"/>
          <w:spacing w:val="0"/>
          <w:w w:val="100"/>
          <w:sz w:val="28"/>
          <w:szCs w:val="28"/>
          <w:vertAlign w:val="baseline"/>
          <w:lang w:val="en-US" w:eastAsia="zh-CN"/>
        </w:rPr>
        <w:t>等对应的SaaS服务。</w:t>
      </w:r>
    </w:p>
    <w:p>
      <w:pPr>
        <w:pStyle w:val="14"/>
        <w:keepNext w:val="0"/>
        <w:keepLines w:val="0"/>
        <w:widowControl/>
        <w:suppressLineNumbers w:val="0"/>
        <w:spacing w:before="0" w:beforeAutospacing="0" w:after="0" w:afterAutospacing="0" w:line="440" w:lineRule="exact"/>
        <w:ind w:left="0" w:right="0" w:firstLine="420"/>
        <w:jc w:val="both"/>
        <w:rPr>
          <w:rFonts w:hint="eastAsia" w:ascii="仿宋" w:hAnsi="仿宋" w:eastAsia="仿宋" w:cs="仿宋"/>
          <w:b w:val="0"/>
          <w:bCs w:val="0"/>
          <w:i w:val="0"/>
          <w:iCs w:val="0"/>
          <w:color w:val="000000"/>
          <w:spacing w:val="0"/>
          <w:w w:val="100"/>
          <w:sz w:val="28"/>
          <w:szCs w:val="28"/>
          <w:highlight w:val="yellow"/>
          <w:vertAlign w:val="baseline"/>
        </w:rPr>
      </w:pPr>
    </w:p>
    <w:p>
      <w:pPr>
        <w:pStyle w:val="15"/>
        <w:jc w:val="both"/>
        <w:rPr>
          <w:rFonts w:hint="eastAsia" w:ascii="黑体" w:hAnsi="黑体" w:eastAsia="黑体"/>
          <w:b w:val="0"/>
        </w:rPr>
      </w:pPr>
      <w:r>
        <w:rPr>
          <w:rFonts w:ascii="黑体" w:hAnsi="黑体" w:eastAsia="黑体"/>
          <w:b w:val="0"/>
        </w:rPr>
        <w:br w:type="page"/>
      </w: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主要合同条款</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根据《中华人民共和国民法典》的规定，合同双方就</w:t>
      </w:r>
      <w:r>
        <w:rPr>
          <w:rFonts w:hint="eastAsia" w:ascii="仿宋" w:hAnsi="仿宋" w:eastAsia="仿宋" w:cs="Times New Roman"/>
          <w:color w:val="000000"/>
          <w:sz w:val="28"/>
          <w:szCs w:val="28"/>
          <w:u w:val="none"/>
          <w:lang w:val="en-US" w:eastAsia="zh-CN"/>
        </w:rPr>
        <w:t>山东钢铁集团日照有限公司</w:t>
      </w:r>
      <w:r>
        <w:rPr>
          <w:rFonts w:hint="eastAsia" w:ascii="仿宋" w:hAnsi="仿宋" w:eastAsia="仿宋" w:cs="Times New Roman"/>
          <w:b w:val="0"/>
          <w:bCs w:val="0"/>
          <w:i w:val="0"/>
          <w:iCs w:val="0"/>
          <w:color w:val="000000"/>
          <w:spacing w:val="0"/>
          <w:w w:val="100"/>
          <w:sz w:val="28"/>
          <w:szCs w:val="28"/>
          <w:vertAlign w:val="baseline"/>
          <w:lang w:val="en-US" w:eastAsia="zh-CN"/>
        </w:rPr>
        <w:t>日照基地信息化2025年云服务</w:t>
      </w:r>
      <w:r>
        <w:rPr>
          <w:rFonts w:hint="eastAsia" w:ascii="仿宋" w:hAnsi="仿宋" w:eastAsia="仿宋" w:cs="Times New Roman"/>
          <w:color w:val="000000"/>
          <w:sz w:val="28"/>
          <w:szCs w:val="28"/>
          <w:u w:val="none"/>
          <w:lang w:val="en-US" w:eastAsia="zh-CN"/>
        </w:rPr>
        <w:t>技术服务合同</w:t>
      </w:r>
      <w:r>
        <w:rPr>
          <w:rFonts w:hint="eastAsia" w:ascii="仿宋" w:hAnsi="仿宋" w:eastAsia="仿宋" w:cs="Times New Roman"/>
          <w:color w:val="000000"/>
          <w:sz w:val="28"/>
          <w:szCs w:val="28"/>
          <w:lang w:val="en-US" w:eastAsia="zh-CN"/>
        </w:rPr>
        <w:t>，经协商一致，按相关法律法规签订本合同。</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服务内容，方式和要求：</w:t>
      </w:r>
    </w:p>
    <w:p>
      <w:pPr>
        <w:spacing w:line="440" w:lineRule="exact"/>
        <w:ind w:left="-2" w:leftChars="0"/>
        <w:outlineLvl w:val="1"/>
        <w:rPr>
          <w:rFonts w:hint="eastAsia" w:ascii="仿宋" w:hAnsi="仿宋" w:eastAsia="仿宋"/>
          <w:b/>
          <w:bCs/>
          <w:color w:val="000000"/>
          <w:sz w:val="28"/>
          <w:szCs w:val="28"/>
        </w:rPr>
      </w:pP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lang w:val="en-US" w:eastAsia="zh-CN"/>
        </w:rPr>
        <w:t>一</w:t>
      </w: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rPr>
        <w:t>服务范围：</w:t>
      </w:r>
    </w:p>
    <w:p>
      <w:pPr>
        <w:tabs>
          <w:tab w:val="left" w:pos="709"/>
        </w:tabs>
        <w:spacing w:line="440" w:lineRule="exact"/>
        <w:ind w:firstLine="560" w:firstLineChars="200"/>
        <w:rPr>
          <w:rFonts w:hint="eastAsia" w:ascii="仿宋" w:hAnsi="仿宋" w:eastAsia="仿宋" w:cs="Times New Roman"/>
          <w:color w:val="000000"/>
          <w:sz w:val="28"/>
          <w:szCs w:val="28"/>
          <w:u w:val="none"/>
          <w:lang w:val="en-US" w:eastAsia="zh-CN"/>
        </w:rPr>
      </w:pPr>
      <w:r>
        <w:rPr>
          <w:rFonts w:hint="eastAsia" w:ascii="仿宋" w:hAnsi="仿宋" w:eastAsia="仿宋" w:cs="Times New Roman"/>
          <w:color w:val="000000"/>
          <w:sz w:val="28"/>
          <w:szCs w:val="28"/>
          <w:lang w:val="en-US" w:eastAsia="zh-CN"/>
        </w:rPr>
        <w:t>1.乙方为甲方提供云计算资源服务及配套技术服务（以下简称云服务）。</w:t>
      </w:r>
    </w:p>
    <w:p>
      <w:pPr>
        <w:tabs>
          <w:tab w:val="left" w:pos="709"/>
        </w:tabs>
        <w:spacing w:line="440" w:lineRule="exact"/>
        <w:ind w:firstLine="560" w:firstLineChars="200"/>
        <w:rPr>
          <w:rFonts w:hint="eastAsia" w:ascii="仿宋" w:hAnsi="仿宋" w:eastAsia="仿宋" w:cs="Times New Roman"/>
          <w:color w:val="000000"/>
          <w:sz w:val="28"/>
          <w:szCs w:val="28"/>
          <w:u w:val="none"/>
          <w:lang w:val="en-US" w:eastAsia="zh-CN"/>
        </w:rPr>
      </w:pPr>
      <w:r>
        <w:rPr>
          <w:rFonts w:hint="eastAsia" w:ascii="仿宋" w:hAnsi="仿宋" w:eastAsia="仿宋" w:cs="Times New Roman"/>
          <w:color w:val="000000"/>
          <w:sz w:val="28"/>
          <w:szCs w:val="28"/>
          <w:u w:val="none"/>
          <w:lang w:val="en-US" w:eastAsia="zh-CN"/>
        </w:rPr>
        <w:t>2.具体范围详见合同附件《山东钢铁集团日照有限公司</w:t>
      </w:r>
      <w:r>
        <w:rPr>
          <w:rFonts w:hint="eastAsia" w:ascii="仿宋" w:hAnsi="仿宋" w:eastAsia="仿宋" w:cs="Times New Roman"/>
          <w:b w:val="0"/>
          <w:bCs w:val="0"/>
          <w:i w:val="0"/>
          <w:iCs w:val="0"/>
          <w:color w:val="000000"/>
          <w:spacing w:val="0"/>
          <w:w w:val="100"/>
          <w:sz w:val="28"/>
          <w:szCs w:val="28"/>
          <w:u w:val="none"/>
          <w:vertAlign w:val="baseline"/>
          <w:lang w:val="en-US" w:eastAsia="zh-CN"/>
        </w:rPr>
        <w:t>日照基地信息化2025年云服务</w:t>
      </w:r>
      <w:r>
        <w:rPr>
          <w:rFonts w:hint="eastAsia" w:ascii="仿宋" w:hAnsi="仿宋" w:eastAsia="仿宋" w:cs="Times New Roman"/>
          <w:color w:val="000000"/>
          <w:sz w:val="28"/>
          <w:szCs w:val="28"/>
          <w:u w:val="none"/>
          <w:lang w:val="en-US" w:eastAsia="zh-CN"/>
        </w:rPr>
        <w:t>技术协议》。</w:t>
      </w:r>
    </w:p>
    <w:p>
      <w:pPr>
        <w:spacing w:line="440" w:lineRule="exact"/>
        <w:ind w:left="-2" w:leftChars="0"/>
        <w:outlineLvl w:val="1"/>
        <w:rPr>
          <w:rFonts w:hint="eastAsia" w:ascii="仿宋" w:hAnsi="仿宋" w:eastAsia="仿宋"/>
          <w:b/>
          <w:bCs/>
          <w:sz w:val="28"/>
          <w:szCs w:val="28"/>
        </w:rPr>
      </w:pP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lang w:val="en-US" w:eastAsia="zh-CN"/>
        </w:rPr>
        <w:t>二</w:t>
      </w: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rPr>
        <w:t>服务</w:t>
      </w:r>
      <w:r>
        <w:rPr>
          <w:rFonts w:hint="eastAsia" w:ascii="仿宋" w:hAnsi="仿宋" w:eastAsia="仿宋"/>
          <w:b/>
          <w:bCs/>
          <w:sz w:val="28"/>
          <w:szCs w:val="28"/>
        </w:rPr>
        <w:t>内容、方式</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乙方根据山东钢铁集团日照有</w:t>
      </w:r>
      <w:r>
        <w:rPr>
          <w:rFonts w:hint="eastAsia" w:ascii="仿宋" w:hAnsi="仿宋" w:eastAsia="仿宋" w:cs="Times New Roman"/>
          <w:color w:val="000000"/>
          <w:sz w:val="28"/>
          <w:szCs w:val="28"/>
          <w:u w:val="none"/>
          <w:lang w:val="en-US" w:eastAsia="zh-CN"/>
        </w:rPr>
        <w:t>限公司</w:t>
      </w:r>
      <w:r>
        <w:rPr>
          <w:rFonts w:hint="eastAsia" w:ascii="仿宋" w:hAnsi="仿宋" w:eastAsia="仿宋" w:cs="Times New Roman"/>
          <w:b w:val="0"/>
          <w:bCs w:val="0"/>
          <w:i w:val="0"/>
          <w:iCs w:val="0"/>
          <w:color w:val="000000"/>
          <w:spacing w:val="0"/>
          <w:w w:val="100"/>
          <w:sz w:val="28"/>
          <w:szCs w:val="28"/>
          <w:u w:val="none"/>
          <w:vertAlign w:val="baseline"/>
          <w:lang w:val="en-US" w:eastAsia="zh-CN"/>
        </w:rPr>
        <w:t>日照基地信息化2025年云服务</w:t>
      </w:r>
      <w:r>
        <w:rPr>
          <w:rFonts w:hint="eastAsia" w:ascii="仿宋" w:hAnsi="仿宋" w:eastAsia="仿宋" w:cs="Times New Roman"/>
          <w:color w:val="000000"/>
          <w:sz w:val="28"/>
          <w:szCs w:val="28"/>
          <w:u w:val="none"/>
          <w:lang w:val="en-US" w:eastAsia="zh-CN"/>
        </w:rPr>
        <w:t>的需求，为甲方提供基于“宝之云”的基础设施服务</w:t>
      </w:r>
      <w:r>
        <w:rPr>
          <w:rFonts w:hint="eastAsia" w:ascii="仿宋" w:hAnsi="仿宋" w:eastAsia="仿宋" w:cs="Times New Roman"/>
          <w:color w:val="000000"/>
          <w:sz w:val="28"/>
          <w:szCs w:val="28"/>
          <w:lang w:val="en-US" w:eastAsia="zh-CN"/>
        </w:rPr>
        <w:t>、计算资源服务、软件资源服务、网络资源服务、运营服务等。</w:t>
      </w:r>
    </w:p>
    <w:p>
      <w:pPr>
        <w:numPr>
          <w:ilvl w:val="0"/>
          <w:numId w:val="0"/>
        </w:numPr>
        <w:tabs>
          <w:tab w:val="left" w:pos="709"/>
        </w:tabs>
        <w:spacing w:line="440" w:lineRule="exact"/>
        <w:ind w:leftChars="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1.乙方提供</w:t>
      </w:r>
      <w:r>
        <w:rPr>
          <w:rFonts w:hint="eastAsia" w:ascii="仿宋" w:hAnsi="仿宋" w:eastAsia="仿宋" w:cs="Times New Roman"/>
          <w:color w:val="000000"/>
          <w:sz w:val="28"/>
          <w:szCs w:val="28"/>
          <w:highlight w:val="none"/>
          <w:u w:val="single"/>
          <w:lang w:val="en-US" w:eastAsia="zh-CN"/>
        </w:rPr>
        <w:t xml:space="preserve">    套</w:t>
      </w:r>
      <w:r>
        <w:rPr>
          <w:rFonts w:hint="eastAsia" w:ascii="仿宋" w:hAnsi="仿宋" w:eastAsia="仿宋" w:cs="Times New Roman"/>
          <w:color w:val="000000"/>
          <w:sz w:val="28"/>
          <w:szCs w:val="28"/>
          <w:highlight w:val="none"/>
          <w:lang w:val="en-US" w:eastAsia="zh-CN"/>
        </w:rPr>
        <w:t>属地移植类系统的正式环境的云计算PaaS和金牌级服务；由甲方提供以上</w:t>
      </w:r>
      <w:r>
        <w:rPr>
          <w:rFonts w:hint="eastAsia" w:ascii="仿宋" w:hAnsi="仿宋" w:eastAsia="仿宋" w:cs="Times New Roman"/>
          <w:color w:val="000000"/>
          <w:sz w:val="28"/>
          <w:szCs w:val="28"/>
          <w:highlight w:val="none"/>
          <w:u w:val="single"/>
          <w:lang w:val="en-US" w:eastAsia="zh-CN"/>
        </w:rPr>
        <w:t xml:space="preserve">     套</w:t>
      </w:r>
      <w:r>
        <w:rPr>
          <w:rFonts w:hint="eastAsia" w:ascii="仿宋" w:hAnsi="仿宋" w:eastAsia="仿宋" w:cs="Times New Roman"/>
          <w:color w:val="000000"/>
          <w:sz w:val="28"/>
          <w:szCs w:val="28"/>
          <w:highlight w:val="none"/>
          <w:lang w:val="en-US" w:eastAsia="zh-CN"/>
        </w:rPr>
        <w:t>属地移植类系统的测试及预发环境资源，乙方提供相关的运营服务。</w:t>
      </w:r>
    </w:p>
    <w:p>
      <w:pPr>
        <w:numPr>
          <w:ilvl w:val="0"/>
          <w:numId w:val="0"/>
        </w:numPr>
        <w:tabs>
          <w:tab w:val="left" w:pos="709"/>
        </w:tabs>
        <w:spacing w:line="440" w:lineRule="exact"/>
        <w:ind w:leftChars="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2.乙方提供协同办公OA及人力资源BWHR服务。</w:t>
      </w:r>
    </w:p>
    <w:p>
      <w:pPr>
        <w:numPr>
          <w:ilvl w:val="0"/>
          <w:numId w:val="0"/>
        </w:numPr>
        <w:tabs>
          <w:tab w:val="left" w:pos="709"/>
        </w:tabs>
        <w:spacing w:line="440" w:lineRule="exact"/>
        <w:ind w:leftChars="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3.乙方提供</w:t>
      </w:r>
      <w:r>
        <w:rPr>
          <w:rFonts w:hint="eastAsia" w:ascii="仿宋" w:hAnsi="仿宋" w:eastAsia="仿宋" w:cs="Times New Roman"/>
          <w:color w:val="000000"/>
          <w:sz w:val="28"/>
          <w:szCs w:val="28"/>
          <w:highlight w:val="none"/>
          <w:u w:val="single"/>
          <w:lang w:val="en-US" w:eastAsia="zh-CN"/>
        </w:rPr>
        <w:t xml:space="preserve">    套</w:t>
      </w:r>
      <w:r>
        <w:rPr>
          <w:rFonts w:hint="eastAsia" w:ascii="仿宋" w:hAnsi="仿宋" w:eastAsia="仿宋" w:cs="Times New Roman"/>
          <w:color w:val="000000"/>
          <w:sz w:val="28"/>
          <w:szCs w:val="28"/>
          <w:highlight w:val="none"/>
          <w:lang w:val="en-US" w:eastAsia="zh-CN"/>
        </w:rPr>
        <w:t>覆盖类系统及制造集控服务。</w:t>
      </w:r>
    </w:p>
    <w:p>
      <w:pPr>
        <w:numPr>
          <w:ilvl w:val="0"/>
          <w:numId w:val="0"/>
        </w:numPr>
        <w:shd w:val="clear" w:color="auto" w:fill="auto"/>
        <w:tabs>
          <w:tab w:val="left" w:pos="709"/>
        </w:tabs>
        <w:spacing w:line="440" w:lineRule="exact"/>
        <w:ind w:leftChars="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4.乙方提供云基础安全服务、安全态势感知监测服务、数据安全服务及系统安全合规检查服务。</w:t>
      </w:r>
    </w:p>
    <w:p>
      <w:pPr>
        <w:numPr>
          <w:ilvl w:val="0"/>
          <w:numId w:val="0"/>
        </w:numPr>
        <w:shd w:val="clear" w:color="auto" w:fill="auto"/>
        <w:tabs>
          <w:tab w:val="left" w:pos="709"/>
        </w:tabs>
        <w:spacing w:line="440" w:lineRule="exact"/>
        <w:ind w:leftChars="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5.乙方提供</w:t>
      </w:r>
      <w:r>
        <w:rPr>
          <w:rFonts w:hint="eastAsia" w:ascii="仿宋" w:hAnsi="仿宋" w:eastAsia="仿宋" w:cs="Times New Roman"/>
          <w:color w:val="000000"/>
          <w:sz w:val="28"/>
          <w:szCs w:val="28"/>
          <w:highlight w:val="none"/>
          <w:u w:val="single"/>
          <w:lang w:val="en-US" w:eastAsia="zh-CN"/>
        </w:rPr>
        <w:t xml:space="preserve">     套</w:t>
      </w:r>
      <w:r>
        <w:rPr>
          <w:rFonts w:hint="eastAsia" w:ascii="仿宋" w:hAnsi="仿宋" w:eastAsia="仿宋" w:cs="Times New Roman"/>
          <w:color w:val="000000"/>
          <w:sz w:val="28"/>
          <w:szCs w:val="28"/>
          <w:highlight w:val="none"/>
          <w:lang w:val="en-US" w:eastAsia="zh-CN"/>
        </w:rPr>
        <w:t>宝联登工业互联网平台服务。</w:t>
      </w:r>
    </w:p>
    <w:p>
      <w:pPr>
        <w:shd w:val="clear" w:color="auto" w:fill="auto"/>
        <w:tabs>
          <w:tab w:val="left" w:pos="709"/>
        </w:tabs>
        <w:spacing w:line="440" w:lineRule="exact"/>
        <w:ind w:firstLine="560" w:firstLineChars="200"/>
        <w:rPr>
          <w:rFonts w:hint="eastAsia" w:ascii="仿宋" w:hAnsi="仿宋" w:eastAsia="仿宋"/>
          <w:b/>
          <w:sz w:val="28"/>
          <w:szCs w:val="28"/>
          <w:highlight w:val="none"/>
        </w:rPr>
      </w:pPr>
      <w:r>
        <w:rPr>
          <w:rFonts w:hint="eastAsia" w:ascii="仿宋" w:hAnsi="仿宋" w:eastAsia="仿宋" w:cs="Times New Roman"/>
          <w:color w:val="000000"/>
          <w:sz w:val="28"/>
          <w:szCs w:val="28"/>
          <w:highlight w:val="none"/>
          <w:lang w:val="en-US" w:eastAsia="zh-CN"/>
        </w:rPr>
        <w:t>提供以上服务简称为“山东钢铁集团日照有限公司云服务”。</w:t>
      </w:r>
    </w:p>
    <w:p>
      <w:pPr>
        <w:shd w:val="clear" w:color="auto" w:fill="auto"/>
        <w:spacing w:line="440" w:lineRule="exact"/>
        <w:ind w:left="-2" w:leftChars="0"/>
        <w:outlineLvl w:val="1"/>
        <w:rPr>
          <w:rFonts w:hint="eastAsia" w:ascii="仿宋" w:hAnsi="仿宋" w:eastAsia="仿宋" w:cs="Times New Roman"/>
          <w:b/>
          <w:bCs/>
          <w:color w:val="000000"/>
          <w:sz w:val="28"/>
          <w:szCs w:val="28"/>
          <w:highlight w:val="none"/>
          <w:lang w:eastAsia="zh-CN"/>
        </w:rPr>
      </w:pPr>
      <w:r>
        <w:rPr>
          <w:rFonts w:hint="eastAsia" w:ascii="仿宋" w:hAnsi="仿宋" w:eastAsia="仿宋" w:cs="Times New Roman"/>
          <w:b/>
          <w:bCs/>
          <w:color w:val="000000"/>
          <w:sz w:val="28"/>
          <w:szCs w:val="28"/>
          <w:highlight w:val="none"/>
          <w:lang w:eastAsia="zh-CN"/>
        </w:rPr>
        <w:t>（</w:t>
      </w:r>
      <w:r>
        <w:rPr>
          <w:rFonts w:hint="eastAsia" w:ascii="仿宋" w:hAnsi="仿宋" w:eastAsia="仿宋" w:cs="Times New Roman"/>
          <w:b/>
          <w:bCs/>
          <w:color w:val="000000"/>
          <w:sz w:val="28"/>
          <w:szCs w:val="28"/>
          <w:highlight w:val="none"/>
          <w:lang w:val="en-US" w:eastAsia="zh-CN"/>
        </w:rPr>
        <w:t>三</w:t>
      </w:r>
      <w:r>
        <w:rPr>
          <w:rFonts w:hint="eastAsia" w:ascii="仿宋" w:hAnsi="仿宋" w:eastAsia="仿宋" w:cs="Times New Roman"/>
          <w:b/>
          <w:bCs/>
          <w:color w:val="000000"/>
          <w:sz w:val="28"/>
          <w:szCs w:val="28"/>
          <w:highlight w:val="none"/>
          <w:lang w:eastAsia="zh-CN"/>
        </w:rPr>
        <w:t>）服务要求</w:t>
      </w:r>
    </w:p>
    <w:p>
      <w:pPr>
        <w:shd w:val="clear" w:color="auto" w:fill="auto"/>
        <w:tabs>
          <w:tab w:val="left" w:pos="709"/>
        </w:tabs>
        <w:spacing w:line="44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以下所列为甲方对乙方所提供服务的主要考核项及有关项的总体考核指标（由于甲方原因引起考核指标不达标的不计在内）：</w:t>
      </w:r>
    </w:p>
    <w:p>
      <w:pPr>
        <w:pStyle w:val="14"/>
        <w:keepNext w:val="0"/>
        <w:keepLines w:val="0"/>
        <w:widowControl/>
        <w:numPr>
          <w:ilvl w:val="0"/>
          <w:numId w:val="3"/>
        </w:numPr>
        <w:suppressLineNumbers w:val="0"/>
        <w:shd w:val="clear" w:color="auto" w:fill="auto"/>
        <w:spacing w:before="0" w:beforeAutospacing="0" w:after="0" w:afterAutospacing="0" w:line="440" w:lineRule="exact"/>
        <w:ind w:left="0" w:right="0" w:firstLine="420"/>
        <w:jc w:val="both"/>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制造管理系统等</w:t>
      </w:r>
      <w:r>
        <w:rPr>
          <w:rFonts w:hint="eastAsia" w:ascii="仿宋" w:hAnsi="仿宋" w:eastAsia="仿宋" w:cs="Times New Roman"/>
          <w:color w:val="000000"/>
          <w:sz w:val="28"/>
          <w:szCs w:val="28"/>
          <w:highlight w:val="none"/>
          <w:u w:val="single"/>
          <w:lang w:val="en-US" w:eastAsia="zh-CN"/>
        </w:rPr>
        <w:t xml:space="preserve">    套</w:t>
      </w:r>
      <w:r>
        <w:rPr>
          <w:rFonts w:hint="eastAsia" w:ascii="仿宋" w:hAnsi="仿宋" w:eastAsia="仿宋" w:cs="Times New Roman"/>
          <w:color w:val="000000"/>
          <w:sz w:val="28"/>
          <w:szCs w:val="28"/>
          <w:highlight w:val="none"/>
          <w:lang w:val="en-US" w:eastAsia="zh-CN"/>
        </w:rPr>
        <w:t>属地移植类系统正式环境7*24小时运行，服务运行率≥99.9%；测试及预发环境5*9小时运行，服务运行率≥99%。</w:t>
      </w:r>
    </w:p>
    <w:p>
      <w:pPr>
        <w:pStyle w:val="14"/>
        <w:keepNext w:val="0"/>
        <w:keepLines w:val="0"/>
        <w:widowControl/>
        <w:numPr>
          <w:ilvl w:val="0"/>
          <w:numId w:val="3"/>
        </w:numPr>
        <w:suppressLineNumbers w:val="0"/>
        <w:shd w:val="clear" w:color="auto" w:fill="auto"/>
        <w:spacing w:before="0" w:beforeAutospacing="0" w:after="0" w:afterAutospacing="0" w:line="440" w:lineRule="exact"/>
        <w:ind w:left="0" w:right="0" w:firstLine="420"/>
        <w:jc w:val="both"/>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协同办公OA及人力资源BWHR系统服务运行率≥99%。</w:t>
      </w:r>
    </w:p>
    <w:p>
      <w:pPr>
        <w:pStyle w:val="14"/>
        <w:keepNext w:val="0"/>
        <w:keepLines w:val="0"/>
        <w:widowControl/>
        <w:numPr>
          <w:ilvl w:val="0"/>
          <w:numId w:val="3"/>
        </w:numPr>
        <w:suppressLineNumbers w:val="0"/>
        <w:shd w:val="clear" w:color="auto" w:fill="auto"/>
        <w:spacing w:before="0" w:beforeAutospacing="0" w:after="0" w:afterAutospacing="0" w:line="440" w:lineRule="exact"/>
        <w:ind w:left="0" w:right="0" w:firstLine="420"/>
        <w:jc w:val="both"/>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覆盖类系统及制造集控正式环境7*24小时运行，服务运行率≥99.9%。</w:t>
      </w:r>
    </w:p>
    <w:p>
      <w:pPr>
        <w:pStyle w:val="14"/>
        <w:keepNext w:val="0"/>
        <w:keepLines w:val="0"/>
        <w:widowControl/>
        <w:numPr>
          <w:ilvl w:val="0"/>
          <w:numId w:val="3"/>
        </w:numPr>
        <w:suppressLineNumbers w:val="0"/>
        <w:shd w:val="clear" w:color="auto" w:fill="auto"/>
        <w:spacing w:before="0" w:beforeAutospacing="0" w:after="0" w:afterAutospacing="0" w:line="440" w:lineRule="exact"/>
        <w:ind w:left="0" w:right="0" w:firstLine="420"/>
        <w:jc w:val="both"/>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云基础安全服务、数据安全服务、安全态势感知监测服务：提供7*24小时运营服务。系统安全合规检查服务：</w:t>
      </w:r>
      <w:r>
        <w:rPr>
          <w:rFonts w:hint="eastAsia" w:ascii="仿宋" w:hAnsi="仿宋" w:eastAsia="仿宋" w:cs="Times New Roman"/>
          <w:color w:val="000000"/>
          <w:sz w:val="28"/>
          <w:szCs w:val="28"/>
          <w:highlight w:val="none"/>
          <w:u w:val="single"/>
          <w:lang w:val="en-US" w:eastAsia="zh-CN"/>
        </w:rPr>
        <w:t xml:space="preserve">对    </w:t>
      </w:r>
      <w:r>
        <w:rPr>
          <w:rFonts w:hint="eastAsia" w:ascii="仿宋" w:hAnsi="仿宋" w:eastAsia="仿宋" w:cs="Times New Roman"/>
          <w:color w:val="000000"/>
          <w:sz w:val="28"/>
          <w:szCs w:val="28"/>
          <w:highlight w:val="none"/>
          <w:u w:val="none"/>
          <w:lang w:val="en-US" w:eastAsia="zh-CN"/>
        </w:rPr>
        <w:t>套</w:t>
      </w:r>
      <w:r>
        <w:rPr>
          <w:rFonts w:hint="eastAsia" w:ascii="仿宋" w:hAnsi="仿宋" w:eastAsia="仿宋" w:cs="Times New Roman"/>
          <w:color w:val="000000"/>
          <w:sz w:val="28"/>
          <w:szCs w:val="28"/>
          <w:highlight w:val="none"/>
          <w:lang w:val="en-US" w:eastAsia="zh-CN"/>
        </w:rPr>
        <w:t>系统进行人工渗透测试及代码安全审计，并在整改结束后提供一次安全合规检查复测。</w:t>
      </w:r>
    </w:p>
    <w:p>
      <w:pPr>
        <w:pStyle w:val="14"/>
        <w:keepNext w:val="0"/>
        <w:keepLines w:val="0"/>
        <w:widowControl/>
        <w:numPr>
          <w:ilvl w:val="0"/>
          <w:numId w:val="3"/>
        </w:numPr>
        <w:suppressLineNumbers w:val="0"/>
        <w:spacing w:before="0" w:beforeAutospacing="0" w:after="0" w:afterAutospacing="0" w:line="440" w:lineRule="exact"/>
        <w:ind w:left="0" w:leftChars="0" w:right="0" w:firstLine="420" w:firstLineChars="0"/>
        <w:jc w:val="both"/>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宝联登工业互联网平台服务服务运行率≥99%。</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由上述系统及平台引起的重大网络安全、生产、经营事故为零。</w:t>
      </w:r>
    </w:p>
    <w:p>
      <w:pPr>
        <w:tabs>
          <w:tab w:val="left" w:pos="709"/>
        </w:tabs>
        <w:spacing w:line="440" w:lineRule="exact"/>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lang w:val="en-US" w:eastAsia="zh-CN"/>
        </w:rPr>
        <w:t>考核指标详见合同附件《山东钢铁集团日照</w:t>
      </w:r>
      <w:r>
        <w:rPr>
          <w:rFonts w:hint="eastAsia" w:ascii="仿宋" w:hAnsi="仿宋" w:eastAsia="仿宋" w:cs="Times New Roman"/>
          <w:color w:val="000000"/>
          <w:sz w:val="28"/>
          <w:szCs w:val="28"/>
          <w:highlight w:val="none"/>
          <w:lang w:val="en-US" w:eastAsia="zh-CN"/>
        </w:rPr>
        <w:t>有限公司</w:t>
      </w:r>
      <w:r>
        <w:rPr>
          <w:rFonts w:hint="eastAsia" w:ascii="仿宋" w:hAnsi="仿宋" w:eastAsia="仿宋" w:cs="Times New Roman"/>
          <w:b w:val="0"/>
          <w:bCs w:val="0"/>
          <w:i w:val="0"/>
          <w:iCs w:val="0"/>
          <w:color w:val="000000"/>
          <w:spacing w:val="0"/>
          <w:w w:val="100"/>
          <w:sz w:val="28"/>
          <w:szCs w:val="28"/>
          <w:highlight w:val="none"/>
          <w:vertAlign w:val="baseline"/>
          <w:lang w:val="en-US" w:eastAsia="zh-CN"/>
        </w:rPr>
        <w:t>日照基地信息化2025年云服务</w:t>
      </w:r>
      <w:r>
        <w:rPr>
          <w:rFonts w:hint="eastAsia" w:ascii="仿宋" w:hAnsi="仿宋" w:eastAsia="仿宋" w:cs="Times New Roman"/>
          <w:color w:val="000000"/>
          <w:sz w:val="28"/>
          <w:szCs w:val="28"/>
          <w:highlight w:val="none"/>
          <w:lang w:val="en-US" w:eastAsia="zh-CN"/>
        </w:rPr>
        <w:t>技术协议》。</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工作条件和协作事项：</w:t>
      </w:r>
    </w:p>
    <w:p>
      <w:pPr>
        <w:tabs>
          <w:tab w:val="left" w:pos="709"/>
        </w:tabs>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见合同附件《</w:t>
      </w:r>
      <w:r>
        <w:rPr>
          <w:rFonts w:hint="eastAsia" w:ascii="仿宋" w:hAnsi="仿宋" w:eastAsia="仿宋" w:cs="Times New Roman"/>
          <w:color w:val="000000"/>
          <w:sz w:val="28"/>
          <w:szCs w:val="28"/>
          <w:highlight w:val="none"/>
          <w:lang w:val="en-US" w:eastAsia="zh-CN"/>
        </w:rPr>
        <w:t>山东钢铁集团日照有限</w:t>
      </w:r>
      <w:r>
        <w:rPr>
          <w:rFonts w:hint="eastAsia" w:ascii="仿宋" w:hAnsi="仿宋" w:eastAsia="仿宋"/>
          <w:color w:val="000000"/>
          <w:sz w:val="28"/>
          <w:szCs w:val="28"/>
          <w:highlight w:val="none"/>
          <w:lang w:eastAsia="zh-CN"/>
        </w:rPr>
        <w:t>公司</w:t>
      </w:r>
      <w:r>
        <w:rPr>
          <w:rFonts w:hint="eastAsia" w:ascii="仿宋" w:hAnsi="仿宋" w:eastAsia="仿宋" w:cs="Times New Roman"/>
          <w:b w:val="0"/>
          <w:bCs w:val="0"/>
          <w:i w:val="0"/>
          <w:iCs w:val="0"/>
          <w:color w:val="000000"/>
          <w:spacing w:val="0"/>
          <w:w w:val="100"/>
          <w:sz w:val="28"/>
          <w:szCs w:val="28"/>
          <w:highlight w:val="none"/>
          <w:vertAlign w:val="baseline"/>
          <w:lang w:val="en-US" w:eastAsia="zh-CN"/>
        </w:rPr>
        <w:t>日照基地信息化2025年云服务</w:t>
      </w:r>
      <w:r>
        <w:rPr>
          <w:rFonts w:hint="eastAsia" w:ascii="仿宋" w:hAnsi="仿宋" w:eastAsia="仿宋"/>
          <w:color w:val="000000"/>
          <w:sz w:val="28"/>
          <w:szCs w:val="28"/>
          <w:highlight w:val="none"/>
        </w:rPr>
        <w:t>技术协议》</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履行期限、地点、方式：</w:t>
      </w:r>
    </w:p>
    <w:p>
      <w:pPr>
        <w:spacing w:line="440" w:lineRule="exact"/>
        <w:ind w:firstLine="480"/>
        <w:rPr>
          <w:rFonts w:hint="eastAsia" w:ascii="仿宋" w:hAnsi="仿宋" w:eastAsia="仿宋"/>
          <w:sz w:val="28"/>
          <w:szCs w:val="28"/>
        </w:rPr>
      </w:pPr>
      <w:r>
        <w:rPr>
          <w:rFonts w:hint="eastAsia" w:ascii="仿宋" w:hAnsi="仿宋" w:eastAsia="仿宋"/>
          <w:sz w:val="28"/>
          <w:szCs w:val="28"/>
        </w:rPr>
        <w:t>本合同自</w:t>
      </w:r>
      <w:r>
        <w:rPr>
          <w:rFonts w:hint="eastAsia" w:ascii="仿宋" w:hAnsi="仿宋" w:eastAsia="仿宋"/>
          <w:sz w:val="28"/>
          <w:szCs w:val="28"/>
          <w:lang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lang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在</w:t>
      </w:r>
      <w:r>
        <w:rPr>
          <w:rFonts w:hint="eastAsia" w:ascii="仿宋" w:hAnsi="仿宋" w:eastAsia="仿宋"/>
          <w:sz w:val="28"/>
          <w:szCs w:val="28"/>
          <w:lang w:val="en-US" w:eastAsia="zh-CN"/>
        </w:rPr>
        <w:t>山东省日照市</w:t>
      </w:r>
      <w:r>
        <w:rPr>
          <w:rFonts w:hint="eastAsia" w:ascii="仿宋" w:hAnsi="仿宋" w:eastAsia="仿宋"/>
          <w:sz w:val="28"/>
          <w:szCs w:val="28"/>
        </w:rPr>
        <w:t>履行。</w:t>
      </w:r>
    </w:p>
    <w:p>
      <w:pPr>
        <w:spacing w:line="440" w:lineRule="exact"/>
        <w:ind w:firstLine="480"/>
        <w:rPr>
          <w:rFonts w:hint="eastAsia" w:ascii="仿宋" w:hAnsi="仿宋" w:eastAsia="仿宋"/>
          <w:sz w:val="28"/>
          <w:szCs w:val="28"/>
        </w:rPr>
      </w:pPr>
      <w:r>
        <w:rPr>
          <w:rFonts w:hint="eastAsia" w:ascii="仿宋" w:hAnsi="仿宋" w:eastAsia="仿宋"/>
          <w:sz w:val="28"/>
          <w:szCs w:val="28"/>
        </w:rPr>
        <w:t>本合同的履行方式：技术服务。</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验收标准和方式：</w:t>
      </w:r>
    </w:p>
    <w:p>
      <w:pPr>
        <w:spacing w:line="440" w:lineRule="exact"/>
        <w:ind w:firstLine="480"/>
        <w:rPr>
          <w:rFonts w:hint="eastAsia" w:ascii="仿宋" w:hAnsi="仿宋" w:eastAsia="仿宋"/>
          <w:sz w:val="28"/>
          <w:szCs w:val="28"/>
        </w:rPr>
      </w:pPr>
      <w:r>
        <w:rPr>
          <w:rFonts w:hint="eastAsia" w:ascii="仿宋" w:hAnsi="仿宋" w:eastAsia="仿宋"/>
          <w:sz w:val="28"/>
          <w:szCs w:val="28"/>
        </w:rPr>
        <w:t>甲方依据合同</w:t>
      </w:r>
      <w:r>
        <w:rPr>
          <w:rFonts w:ascii="仿宋" w:hAnsi="仿宋" w:eastAsia="仿宋"/>
          <w:sz w:val="28"/>
          <w:szCs w:val="28"/>
        </w:rPr>
        <w:t>附件</w:t>
      </w:r>
      <w:r>
        <w:rPr>
          <w:rFonts w:hint="eastAsia" w:ascii="仿宋" w:hAnsi="仿宋" w:eastAsia="仿宋"/>
          <w:bCs/>
          <w:sz w:val="28"/>
          <w:szCs w:val="28"/>
        </w:rPr>
        <w:t>《</w:t>
      </w:r>
      <w:r>
        <w:rPr>
          <w:rFonts w:hint="eastAsia" w:ascii="仿宋" w:hAnsi="仿宋" w:eastAsia="仿宋" w:cs="Times New Roman"/>
          <w:color w:val="000000"/>
          <w:sz w:val="28"/>
          <w:szCs w:val="28"/>
          <w:lang w:val="en-US" w:eastAsia="zh-CN"/>
        </w:rPr>
        <w:t>山东钢铁集团日照有限</w:t>
      </w:r>
      <w:r>
        <w:rPr>
          <w:rFonts w:hint="eastAsia" w:ascii="仿宋" w:hAnsi="仿宋" w:eastAsia="仿宋"/>
          <w:bCs/>
          <w:sz w:val="28"/>
          <w:szCs w:val="28"/>
          <w:lang w:eastAsia="zh-CN"/>
        </w:rPr>
        <w:t>公司2025年云服务</w:t>
      </w:r>
      <w:r>
        <w:rPr>
          <w:rFonts w:hint="eastAsia" w:ascii="仿宋" w:hAnsi="仿宋" w:eastAsia="仿宋"/>
          <w:bCs/>
          <w:sz w:val="28"/>
          <w:szCs w:val="28"/>
        </w:rPr>
        <w:t>技术协议》</w:t>
      </w:r>
      <w:r>
        <w:rPr>
          <w:rFonts w:hint="eastAsia" w:ascii="仿宋" w:hAnsi="仿宋" w:eastAsia="仿宋"/>
          <w:sz w:val="28"/>
          <w:szCs w:val="28"/>
        </w:rPr>
        <w:t>中</w:t>
      </w:r>
      <w:r>
        <w:rPr>
          <w:rFonts w:ascii="仿宋" w:hAnsi="仿宋" w:eastAsia="仿宋"/>
          <w:sz w:val="28"/>
          <w:szCs w:val="28"/>
        </w:rPr>
        <w:t>的</w:t>
      </w:r>
      <w:r>
        <w:rPr>
          <w:rFonts w:hint="eastAsia" w:ascii="仿宋" w:hAnsi="仿宋" w:eastAsia="仿宋"/>
          <w:sz w:val="28"/>
          <w:szCs w:val="28"/>
        </w:rPr>
        <w:t>规定的条款，对乙方进行考核。</w:t>
      </w:r>
    </w:p>
    <w:p>
      <w:pPr>
        <w:numPr>
          <w:ilvl w:val="0"/>
          <w:numId w:val="2"/>
        </w:numPr>
        <w:tabs>
          <w:tab w:val="left" w:pos="540"/>
          <w:tab w:val="clear" w:pos="480"/>
        </w:tabs>
        <w:spacing w:line="440" w:lineRule="exact"/>
        <w:ind w:left="480" w:hanging="480"/>
        <w:outlineLvl w:val="0"/>
        <w:rPr>
          <w:rFonts w:hint="eastAsia" w:ascii="仿宋" w:hAnsi="仿宋" w:eastAsia="仿宋" w:cs="Times New Roman"/>
          <w:color w:val="000000"/>
          <w:sz w:val="28"/>
          <w:szCs w:val="28"/>
          <w:highlight w:val="none"/>
          <w:lang w:val="en-US" w:eastAsia="zh-CN"/>
        </w:rPr>
      </w:pPr>
      <w:r>
        <w:rPr>
          <w:rFonts w:hint="eastAsia" w:ascii="仿宋" w:hAnsi="仿宋" w:eastAsia="仿宋"/>
          <w:b/>
          <w:bCs/>
          <w:sz w:val="30"/>
          <w:szCs w:val="30"/>
        </w:rPr>
        <w:t>报酬及其支付方式：</w:t>
      </w:r>
    </w:p>
    <w:p>
      <w:pPr>
        <w:spacing w:line="440" w:lineRule="exact"/>
        <w:ind w:firstLine="480"/>
        <w:rPr>
          <w:rFonts w:hint="eastAsia" w:ascii="仿宋" w:hAnsi="仿宋" w:eastAsia="仿宋"/>
          <w:bCs/>
          <w:sz w:val="28"/>
          <w:szCs w:val="28"/>
          <w:highlight w:val="none"/>
        </w:rPr>
      </w:pPr>
      <w:r>
        <w:rPr>
          <w:rFonts w:hint="eastAsia" w:ascii="仿宋" w:hAnsi="仿宋" w:eastAsia="仿宋" w:cs="Times New Roman"/>
          <w:color w:val="000000"/>
          <w:sz w:val="28"/>
          <w:szCs w:val="28"/>
          <w:highlight w:val="none"/>
          <w:lang w:val="en-US" w:eastAsia="zh-CN"/>
        </w:rPr>
        <w:t>山东钢铁集团日照有限</w:t>
      </w:r>
      <w:r>
        <w:rPr>
          <w:rFonts w:hint="eastAsia" w:ascii="仿宋" w:hAnsi="仿宋" w:eastAsia="仿宋"/>
          <w:bCs/>
          <w:sz w:val="28"/>
          <w:szCs w:val="28"/>
          <w:highlight w:val="none"/>
          <w:lang w:eastAsia="zh-CN"/>
        </w:rPr>
        <w:t>公司2025年云服务</w:t>
      </w:r>
      <w:r>
        <w:rPr>
          <w:rFonts w:hint="eastAsia" w:ascii="仿宋" w:hAnsi="仿宋" w:eastAsia="仿宋"/>
          <w:bCs/>
          <w:sz w:val="28"/>
          <w:szCs w:val="28"/>
          <w:highlight w:val="none"/>
        </w:rPr>
        <w:t>合同总费用额</w:t>
      </w:r>
      <w:r>
        <w:rPr>
          <w:rFonts w:hint="eastAsia" w:ascii="仿宋" w:hAnsi="仿宋" w:eastAsia="仿宋"/>
          <w:bCs/>
          <w:sz w:val="28"/>
          <w:szCs w:val="28"/>
          <w:highlight w:val="none"/>
          <w:u w:val="single"/>
        </w:rPr>
        <w:t>为</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rPr>
        <w:t>元（大写金额</w:t>
      </w:r>
      <w:r>
        <w:rPr>
          <w:rFonts w:hint="eastAsia" w:ascii="仿宋" w:hAnsi="仿宋" w:eastAsia="仿宋"/>
          <w:bCs/>
          <w:sz w:val="28"/>
          <w:szCs w:val="28"/>
          <w:highlight w:val="none"/>
          <w:u w:val="single"/>
        </w:rPr>
        <w:t>：</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lang w:val="en-US" w:eastAsia="zh-CN"/>
        </w:rPr>
        <w:t>元整</w:t>
      </w:r>
      <w:r>
        <w:rPr>
          <w:rFonts w:hint="eastAsia" w:ascii="仿宋" w:hAnsi="仿宋" w:eastAsia="仿宋"/>
          <w:bCs/>
          <w:sz w:val="28"/>
          <w:szCs w:val="28"/>
          <w:highlight w:val="none"/>
          <w:lang w:eastAsia="zh-CN"/>
        </w:rPr>
        <w:t>），</w:t>
      </w:r>
      <w:r>
        <w:rPr>
          <w:rFonts w:hint="eastAsia" w:ascii="仿宋_GB2312" w:hAnsi="仿宋" w:eastAsia="仿宋_GB2312"/>
          <w:sz w:val="28"/>
          <w:szCs w:val="32"/>
          <w:highlight w:val="none"/>
        </w:rPr>
        <w:t>含税率</w:t>
      </w:r>
      <w:r>
        <w:rPr>
          <w:rFonts w:hint="eastAsia" w:ascii="仿宋_GB2312" w:hAnsi="仿宋" w:eastAsia="仿宋_GB2312"/>
          <w:sz w:val="28"/>
          <w:szCs w:val="32"/>
          <w:highlight w:val="none"/>
          <w:lang w:val="en-US" w:eastAsia="zh-CN"/>
        </w:rPr>
        <w:t>6</w:t>
      </w:r>
      <w:r>
        <w:rPr>
          <w:rFonts w:hint="eastAsia" w:ascii="仿宋_GB2312" w:hAnsi="仿宋" w:eastAsia="仿宋_GB2312"/>
          <w:sz w:val="28"/>
          <w:szCs w:val="32"/>
          <w:highlight w:val="none"/>
        </w:rPr>
        <w:t>%，其中不含税金额</w:t>
      </w:r>
      <w:r>
        <w:rPr>
          <w:rFonts w:hint="eastAsia" w:ascii="仿宋" w:hAnsi="仿宋" w:eastAsia="仿宋"/>
          <w:bCs/>
          <w:sz w:val="28"/>
          <w:szCs w:val="28"/>
          <w:highlight w:val="none"/>
          <w:u w:val="single"/>
          <w:lang w:val="en-US" w:eastAsia="zh-CN"/>
        </w:rPr>
        <w:t xml:space="preserve">     </w:t>
      </w:r>
      <w:r>
        <w:rPr>
          <w:rFonts w:hint="eastAsia" w:ascii="仿宋_GB2312" w:hAnsi="仿宋" w:eastAsia="仿宋_GB2312"/>
          <w:sz w:val="28"/>
          <w:szCs w:val="32"/>
          <w:highlight w:val="none"/>
        </w:rPr>
        <w:t>元</w:t>
      </w:r>
      <w:r>
        <w:rPr>
          <w:rFonts w:hint="eastAsia" w:ascii="仿宋" w:hAnsi="仿宋" w:eastAsia="仿宋"/>
          <w:bCs/>
          <w:sz w:val="28"/>
          <w:szCs w:val="28"/>
          <w:highlight w:val="none"/>
        </w:rPr>
        <w:t>（大写金额</w:t>
      </w:r>
      <w:r>
        <w:rPr>
          <w:rFonts w:hint="eastAsia" w:ascii="仿宋" w:hAnsi="仿宋" w:eastAsia="仿宋"/>
          <w:bCs/>
          <w:sz w:val="28"/>
          <w:szCs w:val="28"/>
          <w:highlight w:val="none"/>
          <w:u w:val="single"/>
        </w:rPr>
        <w:t>：</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lang w:val="en-US" w:eastAsia="zh-CN"/>
        </w:rPr>
        <w:t>元整</w:t>
      </w:r>
      <w:r>
        <w:rPr>
          <w:rFonts w:hint="eastAsia" w:ascii="仿宋" w:hAnsi="仿宋" w:eastAsia="仿宋"/>
          <w:bCs/>
          <w:sz w:val="28"/>
          <w:szCs w:val="28"/>
          <w:highlight w:val="none"/>
        </w:rPr>
        <w:t>)</w:t>
      </w:r>
      <w:r>
        <w:rPr>
          <w:rFonts w:hint="eastAsia" w:ascii="仿宋_GB2312" w:hAnsi="仿宋" w:eastAsia="仿宋_GB2312"/>
          <w:sz w:val="28"/>
          <w:szCs w:val="32"/>
          <w:highlight w:val="none"/>
        </w:rPr>
        <w:t>，增值税金额</w:t>
      </w:r>
      <w:r>
        <w:rPr>
          <w:rFonts w:hint="eastAsia" w:ascii="仿宋" w:hAnsi="仿宋" w:eastAsia="仿宋"/>
          <w:bCs/>
          <w:sz w:val="28"/>
          <w:szCs w:val="28"/>
          <w:highlight w:val="none"/>
          <w:u w:val="single"/>
          <w:lang w:eastAsia="zh-CN"/>
        </w:rPr>
        <w:t xml:space="preserve"> </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u w:val="single"/>
        </w:rPr>
        <w:t>元</w:t>
      </w:r>
      <w:r>
        <w:rPr>
          <w:rFonts w:hint="eastAsia" w:ascii="仿宋" w:hAnsi="仿宋" w:eastAsia="仿宋"/>
          <w:bCs/>
          <w:sz w:val="28"/>
          <w:szCs w:val="28"/>
          <w:highlight w:val="none"/>
        </w:rPr>
        <w:t>（大写金额</w:t>
      </w:r>
      <w:r>
        <w:rPr>
          <w:rFonts w:hint="eastAsia" w:ascii="仿宋" w:hAnsi="仿宋" w:eastAsia="仿宋"/>
          <w:bCs/>
          <w:sz w:val="28"/>
          <w:szCs w:val="28"/>
          <w:highlight w:val="none"/>
          <w:u w:val="single"/>
        </w:rPr>
        <w:t>：</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lang w:val="en-US" w:eastAsia="zh-CN"/>
        </w:rPr>
        <w:t>元整</w:t>
      </w:r>
      <w:r>
        <w:rPr>
          <w:rFonts w:hint="eastAsia" w:ascii="仿宋" w:hAnsi="仿宋" w:eastAsia="仿宋"/>
          <w:bCs/>
          <w:sz w:val="28"/>
          <w:szCs w:val="28"/>
          <w:highlight w:val="none"/>
        </w:rPr>
        <w:t>)。如遇国家调整税收政策，增值税据实调整，不含税价不变。</w:t>
      </w:r>
    </w:p>
    <w:p>
      <w:pPr>
        <w:spacing w:line="440" w:lineRule="exact"/>
        <w:ind w:firstLine="480"/>
        <w:rPr>
          <w:rFonts w:hint="eastAsia" w:ascii="仿宋" w:hAnsi="仿宋" w:eastAsia="仿宋"/>
          <w:bCs/>
          <w:sz w:val="28"/>
          <w:szCs w:val="28"/>
        </w:rPr>
      </w:pPr>
      <w:r>
        <w:rPr>
          <w:rFonts w:hint="eastAsia" w:ascii="仿宋" w:hAnsi="仿宋" w:eastAsia="仿宋"/>
          <w:bCs/>
          <w:sz w:val="28"/>
          <w:szCs w:val="28"/>
        </w:rPr>
        <w:t>本合同价款的支付，均以银行电汇或银行承兑汇票方式办理，其中银行承兑汇票期限不超过6个月。</w:t>
      </w:r>
    </w:p>
    <w:p>
      <w:pPr>
        <w:spacing w:line="440" w:lineRule="exact"/>
        <w:ind w:firstLine="480"/>
        <w:rPr>
          <w:rFonts w:hint="eastAsia" w:ascii="仿宋" w:hAnsi="仿宋" w:eastAsia="仿宋"/>
          <w:bCs/>
          <w:sz w:val="28"/>
          <w:szCs w:val="28"/>
        </w:rPr>
      </w:pPr>
      <w:r>
        <w:rPr>
          <w:rFonts w:hint="eastAsia" w:ascii="仿宋" w:hAnsi="仿宋" w:eastAsia="仿宋"/>
          <w:bCs/>
          <w:sz w:val="28"/>
          <w:szCs w:val="28"/>
        </w:rPr>
        <w:t>付款方式为银行承兑汇票的，如因乙方原因造成法院协助执行等情形，甲方须直接支付法院或第三人现汇的，甲方有权按当期贷款市场报价利率扣除承兑汇票转付现汇的资金成本。</w:t>
      </w:r>
    </w:p>
    <w:p>
      <w:pPr>
        <w:spacing w:line="440" w:lineRule="exact"/>
        <w:ind w:firstLine="480"/>
        <w:rPr>
          <w:rFonts w:hint="eastAsia" w:ascii="仿宋" w:hAnsi="仿宋" w:eastAsia="仿宋"/>
          <w:bCs/>
          <w:sz w:val="28"/>
          <w:szCs w:val="28"/>
        </w:rPr>
      </w:pPr>
    </w:p>
    <w:p>
      <w:pPr>
        <w:spacing w:line="440" w:lineRule="exact"/>
        <w:ind w:firstLine="480"/>
        <w:rPr>
          <w:rFonts w:hint="eastAsia" w:ascii="仿宋" w:hAnsi="仿宋" w:eastAsia="仿宋"/>
          <w:bCs/>
          <w:sz w:val="28"/>
          <w:szCs w:val="28"/>
        </w:rPr>
      </w:pPr>
      <w:r>
        <w:rPr>
          <w:rFonts w:hint="eastAsia" w:ascii="仿宋" w:hAnsi="仿宋" w:eastAsia="仿宋"/>
          <w:bCs/>
          <w:sz w:val="28"/>
          <w:szCs w:val="28"/>
        </w:rPr>
        <w:t>具体如下：</w:t>
      </w:r>
    </w:p>
    <w:p>
      <w:pPr>
        <w:spacing w:line="440" w:lineRule="exact"/>
        <w:ind w:firstLine="480"/>
        <w:rPr>
          <w:rFonts w:hint="eastAsia" w:ascii="仿宋" w:hAnsi="仿宋" w:eastAsia="仿宋"/>
          <w:bCs/>
          <w:sz w:val="28"/>
          <w:szCs w:val="28"/>
        </w:rPr>
      </w:pPr>
      <w:r>
        <w:rPr>
          <w:rFonts w:hint="eastAsia" w:ascii="仿宋" w:hAnsi="仿宋" w:eastAsia="仿宋"/>
          <w:bCs/>
          <w:sz w:val="28"/>
          <w:szCs w:val="28"/>
        </w:rPr>
        <w:t>按季度进行服务绩效考核及</w:t>
      </w:r>
      <w:r>
        <w:rPr>
          <w:rFonts w:hint="eastAsia" w:ascii="仿宋" w:hAnsi="仿宋" w:eastAsia="仿宋"/>
          <w:bCs/>
          <w:color w:val="auto"/>
          <w:sz w:val="28"/>
          <w:szCs w:val="28"/>
        </w:rPr>
        <w:t>付费，</w:t>
      </w:r>
      <w:r>
        <w:rPr>
          <w:rFonts w:hint="eastAsia" w:ascii="仿宋" w:hAnsi="仿宋" w:eastAsia="仿宋"/>
          <w:bCs/>
          <w:color w:val="auto"/>
          <w:sz w:val="28"/>
          <w:szCs w:val="28"/>
          <w:highlight w:val="none"/>
        </w:rPr>
        <w:t>云服务资源根据业务系统运行状况经双方评估认可后进行动态调整，费用按</w:t>
      </w:r>
      <w:r>
        <w:rPr>
          <w:rFonts w:hint="eastAsia" w:ascii="仿宋" w:hAnsi="仿宋" w:eastAsia="仿宋"/>
          <w:bCs/>
          <w:color w:val="auto"/>
          <w:sz w:val="28"/>
          <w:szCs w:val="28"/>
          <w:highlight w:val="none"/>
          <w:lang w:val="en-US" w:eastAsia="zh-CN"/>
        </w:rPr>
        <w:t>考核</w:t>
      </w:r>
      <w:r>
        <w:rPr>
          <w:rFonts w:hint="eastAsia" w:ascii="仿宋" w:hAnsi="仿宋" w:eastAsia="仿宋"/>
          <w:bCs/>
          <w:color w:val="auto"/>
          <w:sz w:val="28"/>
          <w:szCs w:val="28"/>
          <w:highlight w:val="none"/>
        </w:rPr>
        <w:t>实际减少或者增加按季度结算。</w:t>
      </w:r>
      <w:r>
        <w:rPr>
          <w:rFonts w:hint="eastAsia" w:ascii="仿宋" w:hAnsi="仿宋" w:eastAsia="仿宋"/>
          <w:bCs/>
          <w:color w:val="auto"/>
          <w:sz w:val="28"/>
          <w:szCs w:val="28"/>
        </w:rPr>
        <w:t>第1、2、3季</w:t>
      </w:r>
      <w:r>
        <w:rPr>
          <w:rFonts w:hint="eastAsia" w:ascii="仿宋" w:hAnsi="仿宋" w:eastAsia="仿宋"/>
          <w:bCs/>
          <w:sz w:val="28"/>
          <w:szCs w:val="28"/>
        </w:rPr>
        <w:t>度考核结果在次季度的开票额中进行扣除或增加，开票后次月支付；第4季度（年底）考核结果则要一并反映在年终考评及开票额中，并在</w:t>
      </w:r>
      <w:r>
        <w:rPr>
          <w:rFonts w:hint="eastAsia" w:ascii="仿宋" w:hAnsi="仿宋" w:eastAsia="仿宋"/>
          <w:bCs/>
          <w:sz w:val="28"/>
          <w:szCs w:val="28"/>
          <w:lang w:val="en-US" w:eastAsia="zh-CN"/>
        </w:rPr>
        <w:t>甲方</w:t>
      </w:r>
      <w:r>
        <w:rPr>
          <w:rFonts w:hint="eastAsia" w:ascii="仿宋" w:hAnsi="仿宋" w:eastAsia="仿宋"/>
          <w:bCs/>
          <w:sz w:val="28"/>
          <w:szCs w:val="28"/>
        </w:rPr>
        <w:t>财务年度关账前完成报支。乙方开具6%增值税专用发票。</w:t>
      </w:r>
    </w:p>
    <w:p>
      <w:pPr>
        <w:spacing w:line="440" w:lineRule="exact"/>
        <w:ind w:firstLine="480"/>
        <w:rPr>
          <w:rFonts w:hint="eastAsia" w:ascii="仿宋" w:hAnsi="仿宋" w:eastAsia="仿宋"/>
          <w:color w:val="000000"/>
          <w:sz w:val="28"/>
          <w:szCs w:val="28"/>
          <w:highlight w:val="none"/>
        </w:rPr>
      </w:pPr>
      <w:r>
        <w:rPr>
          <w:rFonts w:hint="eastAsia" w:ascii="仿宋" w:hAnsi="仿宋" w:eastAsia="仿宋"/>
          <w:sz w:val="28"/>
          <w:szCs w:val="28"/>
          <w:highlight w:val="none"/>
        </w:rPr>
        <w:t>考核细则见合同附件《</w:t>
      </w:r>
      <w:r>
        <w:rPr>
          <w:rFonts w:hint="eastAsia" w:ascii="仿宋" w:hAnsi="仿宋" w:eastAsia="仿宋" w:cs="Times New Roman"/>
          <w:color w:val="000000"/>
          <w:sz w:val="28"/>
          <w:szCs w:val="28"/>
          <w:highlight w:val="none"/>
          <w:lang w:val="en-US" w:eastAsia="zh-CN"/>
        </w:rPr>
        <w:t>山东钢铁集团日照有限</w:t>
      </w:r>
      <w:r>
        <w:rPr>
          <w:rFonts w:hint="eastAsia" w:ascii="仿宋" w:hAnsi="仿宋" w:eastAsia="仿宋"/>
          <w:color w:val="000000"/>
          <w:sz w:val="28"/>
          <w:szCs w:val="28"/>
          <w:highlight w:val="none"/>
          <w:lang w:eastAsia="zh-CN"/>
        </w:rPr>
        <w:t>公司</w:t>
      </w:r>
      <w:r>
        <w:rPr>
          <w:rFonts w:hint="eastAsia" w:ascii="仿宋" w:hAnsi="仿宋" w:eastAsia="仿宋" w:cs="Times New Roman"/>
          <w:b w:val="0"/>
          <w:bCs w:val="0"/>
          <w:i w:val="0"/>
          <w:iCs w:val="0"/>
          <w:color w:val="000000"/>
          <w:spacing w:val="0"/>
          <w:w w:val="100"/>
          <w:sz w:val="28"/>
          <w:szCs w:val="28"/>
          <w:highlight w:val="none"/>
          <w:vertAlign w:val="baseline"/>
          <w:lang w:val="en-US" w:eastAsia="zh-CN"/>
        </w:rPr>
        <w:t>日照基地信息化2025年云服务</w:t>
      </w:r>
      <w:r>
        <w:rPr>
          <w:rFonts w:hint="eastAsia" w:ascii="仿宋" w:hAnsi="仿宋" w:eastAsia="仿宋"/>
          <w:color w:val="000000"/>
          <w:sz w:val="28"/>
          <w:szCs w:val="28"/>
          <w:highlight w:val="none"/>
        </w:rPr>
        <w:t>技术协议》。</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违约金或者损失赔偿额的计算方法：</w:t>
      </w:r>
    </w:p>
    <w:p>
      <w:pPr>
        <w:spacing w:line="440" w:lineRule="exact"/>
        <w:ind w:firstLine="435"/>
        <w:rPr>
          <w:rFonts w:hint="eastAsia" w:ascii="仿宋" w:hAnsi="仿宋" w:eastAsia="仿宋"/>
          <w:sz w:val="28"/>
          <w:szCs w:val="28"/>
        </w:rPr>
      </w:pPr>
      <w:r>
        <w:rPr>
          <w:rFonts w:hint="eastAsia" w:ascii="仿宋" w:hAnsi="仿宋" w:eastAsia="仿宋"/>
          <w:sz w:val="28"/>
          <w:szCs w:val="28"/>
        </w:rPr>
        <w:t>违反本合同约定，违约方应当根据《中华人民共和国民法典》的规定及相关法律法规，承担违约责任。</w:t>
      </w:r>
    </w:p>
    <w:p>
      <w:pPr>
        <w:spacing w:line="440" w:lineRule="exact"/>
        <w:ind w:firstLine="435"/>
        <w:rPr>
          <w:rFonts w:hint="eastAsia" w:ascii="仿宋" w:hAnsi="仿宋" w:eastAsia="仿宋"/>
          <w:sz w:val="28"/>
          <w:szCs w:val="28"/>
        </w:rPr>
      </w:pPr>
      <w:r>
        <w:rPr>
          <w:rFonts w:hint="eastAsia" w:ascii="仿宋" w:hAnsi="仿宋" w:eastAsia="仿宋"/>
          <w:sz w:val="28"/>
          <w:szCs w:val="28"/>
        </w:rPr>
        <w:t>乙方不能按照合同要求时间开展工作、延误相关服务、服务质量不满足技术附件的要求等违约行为，按照技术附件的考核方式进行扣分、扣款。乙方应保证在项目所提供的服务、系统及设备设施等不受第三方提出侵犯知识产权的指控。若发生此类指控，由乙方与第三方交涉，并承担由此发生的一切法律责任和费用。甲方因此遭受任何损失的，有权向乙方追偿。</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争议的解决办法：</w:t>
      </w:r>
    </w:p>
    <w:p>
      <w:pPr>
        <w:spacing w:line="440" w:lineRule="exact"/>
        <w:ind w:firstLine="435"/>
        <w:rPr>
          <w:rFonts w:hint="eastAsia" w:ascii="仿宋" w:hAnsi="仿宋" w:eastAsia="仿宋"/>
          <w:sz w:val="28"/>
          <w:szCs w:val="28"/>
        </w:rPr>
      </w:pPr>
      <w:r>
        <w:rPr>
          <w:rFonts w:hint="eastAsia" w:ascii="仿宋" w:hAnsi="仿宋" w:eastAsia="仿宋"/>
          <w:sz w:val="28"/>
          <w:szCs w:val="28"/>
        </w:rPr>
        <w:t>执行本合同发生争议，由当事人双方协商和解，如协商不成的，可向甲方所在地人民法院提起诉讼。</w:t>
      </w:r>
    </w:p>
    <w:p>
      <w:pPr>
        <w:spacing w:line="440" w:lineRule="exact"/>
        <w:ind w:firstLine="435"/>
        <w:rPr>
          <w:rFonts w:hint="eastAsia" w:ascii="仿宋" w:hAnsi="仿宋" w:eastAsia="仿宋"/>
          <w:sz w:val="28"/>
          <w:szCs w:val="28"/>
        </w:rPr>
      </w:pPr>
      <w:r>
        <w:rPr>
          <w:rFonts w:hint="eastAsia" w:ascii="仿宋" w:hAnsi="仿宋" w:eastAsia="仿宋"/>
          <w:sz w:val="28"/>
          <w:szCs w:val="28"/>
        </w:rPr>
        <w:t>合同发生中/终止时，经甲乙双方友好协商，按实际工作量予以结算。</w:t>
      </w:r>
    </w:p>
    <w:p>
      <w:pPr>
        <w:numPr>
          <w:ilvl w:val="0"/>
          <w:numId w:val="2"/>
        </w:numPr>
        <w:tabs>
          <w:tab w:val="left" w:pos="540"/>
          <w:tab w:val="clear" w:pos="480"/>
        </w:tabs>
        <w:spacing w:line="440" w:lineRule="exact"/>
        <w:ind w:left="480" w:leftChars="0" w:hanging="480" w:firstLineChars="0"/>
        <w:outlineLvl w:val="0"/>
        <w:rPr>
          <w:rFonts w:hint="eastAsia" w:ascii="仿宋" w:hAnsi="仿宋" w:eastAsia="仿宋"/>
          <w:b/>
          <w:bCs/>
          <w:sz w:val="30"/>
          <w:szCs w:val="30"/>
        </w:rPr>
      </w:pPr>
      <w:r>
        <w:rPr>
          <w:rFonts w:hint="eastAsia" w:ascii="仿宋" w:hAnsi="仿宋" w:eastAsia="仿宋"/>
          <w:b/>
          <w:bCs/>
          <w:sz w:val="30"/>
          <w:szCs w:val="30"/>
        </w:rPr>
        <w:t>其它：</w:t>
      </w:r>
    </w:p>
    <w:p>
      <w:pPr>
        <w:numPr>
          <w:ilvl w:val="0"/>
          <w:numId w:val="4"/>
        </w:numPr>
        <w:tabs>
          <w:tab w:val="left" w:pos="567"/>
          <w:tab w:val="clear" w:pos="360"/>
        </w:tabs>
        <w:spacing w:line="440" w:lineRule="exact"/>
        <w:ind w:left="567" w:hanging="425"/>
        <w:rPr>
          <w:rFonts w:hint="eastAsia" w:ascii="仿宋" w:hAnsi="仿宋" w:eastAsia="仿宋"/>
          <w:sz w:val="28"/>
          <w:szCs w:val="28"/>
        </w:rPr>
      </w:pPr>
      <w:r>
        <w:rPr>
          <w:rFonts w:hint="eastAsia" w:ascii="仿宋" w:hAnsi="仿宋" w:eastAsia="仿宋"/>
          <w:sz w:val="28"/>
          <w:szCs w:val="28"/>
        </w:rPr>
        <w:t>甲方</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1.甲方有权审核乙方制订的有关技术服务的工作计划与工作方案，并提出意见，责成乙方修改；服务工作要有时间节点控制，甲方有权评价乙方的服务指标的完成度和质量；</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2.甲方有权对乙方承包的各项业务，进行指导、监督、检查和考核，对违反合同规定和甲方有关制度的情况，照合同约定减少应支付费用相应余额；</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3.甲方负责向乙方及时支付服务费用，确保乙方运营活动的正常开展。</w:t>
      </w:r>
    </w:p>
    <w:p>
      <w:pPr>
        <w:numPr>
          <w:ilvl w:val="0"/>
          <w:numId w:val="4"/>
        </w:numPr>
        <w:tabs>
          <w:tab w:val="left" w:pos="567"/>
          <w:tab w:val="clear" w:pos="360"/>
        </w:tabs>
        <w:spacing w:line="440" w:lineRule="exact"/>
        <w:ind w:left="567" w:hanging="425"/>
        <w:rPr>
          <w:rFonts w:hint="eastAsia" w:ascii="仿宋" w:hAnsi="仿宋" w:eastAsia="仿宋"/>
          <w:sz w:val="28"/>
          <w:szCs w:val="28"/>
        </w:rPr>
      </w:pPr>
      <w:r>
        <w:rPr>
          <w:rFonts w:hint="eastAsia" w:ascii="仿宋" w:hAnsi="仿宋" w:eastAsia="仿宋"/>
          <w:sz w:val="28"/>
          <w:szCs w:val="28"/>
        </w:rPr>
        <w:t>乙方</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乙方必须严格遵守甲方制订的保密规定、并接受甲方的检查、监督与考核，并对每次提供甲方用于结算的数据负责，确保数据的真实性、合规性；未经甲方同意，不得将本合同范围内甲方的生产、经营数据（如销售库存、价格、合同、用户信息）透露给第三方，不得将本合同范围内涉及的技术秘密、技术诀窍透露给第三方；</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2.乙方负责提供以下基本运营服务，确保本合同范围内所有系统稳定、安全的应用运行：</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（1）乙方负责对本合同范围内所有系统的相关资源服务的日常管理、保证系统运行状态完好，满足甲方生产经营等业务活动对系统的要求；</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（2）乙方必须采取可靠的安全措施，防止他人攻击本合同范围内所有系统或窃取该系统中的生产、经营数据；</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（3）乙方必须实时监控主机网络安全情况，确保网络安全，防止黑客的攻击和突发性事故。</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（4）乙方及时排除使用过程中出现的系统故障。</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（5）乙方为甲方及甲方用户提供每周7*24小时（合同期内）的运行值班，以及提供不同等级技术支持服务，解答用户对于本合同范围内所有系统的操作、使用问题；</w:t>
      </w:r>
    </w:p>
    <w:p>
      <w:pPr>
        <w:tabs>
          <w:tab w:val="left" w:pos="709"/>
        </w:tabs>
        <w:spacing w:line="440" w:lineRule="exact"/>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（6）按甲方要求定期提供月度及年度服务报告。</w:t>
      </w:r>
    </w:p>
    <w:p>
      <w:pPr>
        <w:tabs>
          <w:tab w:val="left" w:pos="709"/>
        </w:tabs>
        <w:spacing w:line="44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（三)本合同未尽事宜双方协商解决，经甲乙双方协商同意，签字并盖章的本合同附件、补充协议等与本合同正本具有同等的法律效力；</w:t>
      </w:r>
    </w:p>
    <w:p>
      <w:pPr>
        <w:tabs>
          <w:tab w:val="left" w:pos="709"/>
        </w:tabs>
        <w:spacing w:line="44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（四）本合同经双方代表签字并盖章后立即生效；</w:t>
      </w:r>
    </w:p>
    <w:p>
      <w:pPr>
        <w:tabs>
          <w:tab w:val="left" w:pos="709"/>
        </w:tabs>
        <w:spacing w:line="440" w:lineRule="exact"/>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（五）本合同一式八份，甲方六份，乙方二份。</w:t>
      </w:r>
    </w:p>
    <w:p>
      <w:pPr>
        <w:spacing w:line="560" w:lineRule="exact"/>
        <w:rPr>
          <w:rFonts w:hint="eastAsia" w:ascii="仿宋_GB2312" w:hAnsi="仿宋" w:eastAsia="仿宋_GB2312"/>
          <w:b/>
          <w:sz w:val="32"/>
          <w:szCs w:val="32"/>
        </w:rPr>
      </w:pPr>
    </w:p>
    <w:p>
      <w:pPr>
        <w:spacing w:line="560" w:lineRule="exact"/>
        <w:ind w:firstLine="2088" w:firstLineChars="650"/>
        <w:rPr>
          <w:rFonts w:hint="eastAsia" w:ascii="仿宋_GB2312" w:hAnsi="仿宋" w:eastAsia="仿宋_GB2312"/>
          <w:b/>
          <w:sz w:val="32"/>
          <w:szCs w:val="32"/>
        </w:rPr>
      </w:pPr>
    </w:p>
    <w:p>
      <w:pPr>
        <w:pStyle w:val="15"/>
        <w:rPr>
          <w:rFonts w:hint="eastAsia" w:ascii="黑体" w:hAnsi="黑体" w:eastAsia="黑体"/>
          <w:b w:val="0"/>
        </w:rPr>
      </w:pPr>
      <w:r>
        <w:rPr>
          <w:rFonts w:hint="eastAsia" w:ascii="仿宋_GB2312" w:hAnsi="仿宋" w:eastAsia="仿宋_GB2312"/>
        </w:rPr>
        <w:br w:type="page"/>
      </w:r>
      <w:r>
        <w:rPr>
          <w:rFonts w:hint="eastAsia" w:ascii="黑体" w:hAnsi="黑体" w:eastAsia="黑体"/>
          <w:b w:val="0"/>
        </w:rPr>
        <w:t>第四章  文件格式及附录</w:t>
      </w:r>
    </w:p>
    <w:p>
      <w:pPr>
        <w:spacing w:line="560" w:lineRule="exact"/>
        <w:ind w:firstLine="562" w:firstLineChars="200"/>
        <w:rPr>
          <w:rFonts w:hint="eastAsia" w:ascii="仿宋_GB2312" w:hAnsi="Calibri" w:eastAsia="仿宋_GB2312"/>
          <w:sz w:val="28"/>
          <w:szCs w:val="28"/>
        </w:rPr>
      </w:pPr>
      <w:r>
        <w:rPr>
          <w:rFonts w:hint="eastAsia" w:ascii="仿宋_GB2312" w:hAnsi="仿宋_GB2312" w:eastAsia="仿宋_GB2312" w:cs="仿宋_GB2312"/>
          <w:b/>
          <w:kern w:val="11"/>
          <w:sz w:val="28"/>
          <w:szCs w:val="28"/>
        </w:rPr>
        <w:t>一、</w:t>
      </w:r>
      <w:r>
        <w:rPr>
          <w:rFonts w:hint="eastAsia" w:ascii="仿宋_GB2312" w:hAnsi="Calibri" w:eastAsia="仿宋_GB2312"/>
          <w:b/>
          <w:sz w:val="28"/>
          <w:szCs w:val="28"/>
        </w:rPr>
        <w:t>谈判响应文件由以下部分组成</w:t>
      </w:r>
      <w:r>
        <w:rPr>
          <w:rFonts w:hint="eastAsia" w:ascii="仿宋_GB2312" w:eastAsia="仿宋_GB2312"/>
          <w:kern w:val="0"/>
          <w:sz w:val="28"/>
          <w:szCs w:val="28"/>
        </w:rPr>
        <w:t>（按此顺序提供相应谈判文件）</w:t>
      </w:r>
      <w:r>
        <w:rPr>
          <w:rFonts w:hint="eastAsia" w:ascii="仿宋_GB2312" w:hAnsi="Calibri" w:eastAsia="仿宋_GB2312"/>
          <w:b/>
          <w:sz w:val="28"/>
          <w:szCs w:val="28"/>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13"/>
        <w:gridCol w:w="2880"/>
        <w:gridCol w:w="1968"/>
        <w:gridCol w:w="164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序号</w:t>
            </w:r>
          </w:p>
        </w:tc>
        <w:tc>
          <w:tcPr>
            <w:tcW w:w="813" w:type="dxa"/>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类别</w:t>
            </w: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组成</w:t>
            </w:r>
          </w:p>
        </w:tc>
        <w:tc>
          <w:tcPr>
            <w:tcW w:w="1968" w:type="dxa"/>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电子版要求</w:t>
            </w:r>
          </w:p>
        </w:tc>
        <w:tc>
          <w:tcPr>
            <w:tcW w:w="1644" w:type="dxa"/>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签字、盖章要求</w:t>
            </w:r>
          </w:p>
        </w:tc>
        <w:tc>
          <w:tcPr>
            <w:tcW w:w="1111"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44" w:type="dxa"/>
            <w:vMerge w:val="restart"/>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1</w:t>
            </w:r>
          </w:p>
        </w:tc>
        <w:tc>
          <w:tcPr>
            <w:tcW w:w="813" w:type="dxa"/>
            <w:vMerge w:val="restart"/>
            <w:noWrap w:val="0"/>
            <w:textDirection w:val="tbRlV"/>
            <w:vAlign w:val="center"/>
          </w:tcPr>
          <w:p>
            <w:pPr>
              <w:adjustRightInd w:val="0"/>
              <w:snapToGrid w:val="0"/>
              <w:ind w:left="113" w:right="113"/>
              <w:jc w:val="center"/>
              <w:rPr>
                <w:rFonts w:hint="eastAsia" w:ascii="仿宋_GB2312" w:eastAsia="仿宋_GB2312"/>
                <w:sz w:val="28"/>
                <w:szCs w:val="28"/>
              </w:rPr>
            </w:pPr>
            <w:r>
              <w:rPr>
                <w:rFonts w:hint="eastAsia" w:ascii="仿宋_GB2312" w:eastAsia="仿宋_GB2312"/>
                <w:sz w:val="28"/>
                <w:szCs w:val="28"/>
              </w:rPr>
              <w:t>资格审查文件</w:t>
            </w: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法定代表人身份证明（附录1）或授权委托书（附录2）</w:t>
            </w:r>
          </w:p>
        </w:tc>
        <w:tc>
          <w:tcPr>
            <w:tcW w:w="1968" w:type="dxa"/>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营业执照副本</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近两年财务报告（仅需提供资产负债表、利润表、现金流量表、现金流量表续）</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最新一期财务报表（招标日前一个月，可不审计，但需要盖公司章）</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相关业绩证明（相关业绩证明（文件中</w:t>
            </w:r>
            <w:r>
              <w:rPr>
                <w:rFonts w:hint="eastAsia" w:ascii="仿宋_GB2312" w:eastAsia="仿宋_GB2312"/>
                <w:sz w:val="28"/>
                <w:szCs w:val="28"/>
                <w:lang w:val="en-US" w:eastAsia="zh-CN"/>
              </w:rPr>
              <w:t>至少</w:t>
            </w:r>
            <w:r>
              <w:rPr>
                <w:rFonts w:hint="eastAsia" w:ascii="仿宋_GB2312" w:eastAsia="仿宋_GB2312"/>
                <w:sz w:val="28"/>
                <w:szCs w:val="28"/>
              </w:rPr>
              <w:t xml:space="preserve">提供  </w:t>
            </w:r>
            <w:r>
              <w:rPr>
                <w:rFonts w:hint="eastAsia" w:ascii="仿宋_GB2312" w:eastAsia="仿宋_GB2312"/>
                <w:sz w:val="28"/>
                <w:szCs w:val="28"/>
                <w:lang w:val="en-US" w:eastAsia="zh-CN"/>
              </w:rPr>
              <w:t>1</w:t>
            </w:r>
            <w:r>
              <w:rPr>
                <w:rFonts w:hint="eastAsia" w:ascii="仿宋_GB2312" w:eastAsia="仿宋_GB2312"/>
                <w:sz w:val="28"/>
                <w:szCs w:val="28"/>
              </w:rPr>
              <w:t xml:space="preserve"> 份符合要求的业绩，业绩需提供加盖公章的项目合同复印件（至少要包括：合同双方主体的基本信息页，尤其是数量一定要显示、合同约定工作内容页、合同签字页等）</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“国家企业信用信息公示系统”或“信用中国”中经营异常和严重失信的查询结果截图。“中国执行信息公开网”中关于：“失信被执行人员”和“限制消费人员”方面查询结果截图。</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必要的体系认证证书及其他资质证明</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restart"/>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2</w:t>
            </w:r>
          </w:p>
        </w:tc>
        <w:tc>
          <w:tcPr>
            <w:tcW w:w="813" w:type="dxa"/>
            <w:vMerge w:val="restart"/>
            <w:noWrap w:val="0"/>
            <w:textDirection w:val="tbRlV"/>
            <w:vAlign w:val="center"/>
          </w:tcPr>
          <w:p>
            <w:pPr>
              <w:adjustRightInd w:val="0"/>
              <w:snapToGrid w:val="0"/>
              <w:ind w:left="113" w:right="113"/>
              <w:jc w:val="center"/>
              <w:rPr>
                <w:rFonts w:hint="eastAsia" w:ascii="仿宋_GB2312" w:eastAsia="仿宋_GB2312"/>
                <w:sz w:val="28"/>
                <w:szCs w:val="28"/>
              </w:rPr>
            </w:pPr>
            <w:r>
              <w:rPr>
                <w:rFonts w:hint="eastAsia" w:ascii="仿宋_GB2312" w:eastAsia="仿宋_GB2312"/>
                <w:sz w:val="28"/>
                <w:szCs w:val="28"/>
              </w:rPr>
              <w:t>技术文件</w:t>
            </w: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谈判响应供应商概况</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设备性能保证、寿命承诺</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产品检验及质量控制</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项目进度保障</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hAnsi="宋体" w:eastAsia="仿宋_GB2312"/>
                <w:sz w:val="28"/>
                <w:szCs w:val="28"/>
                <w:highlight w:val="none"/>
              </w:rPr>
              <w:t>相关方案或预案</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highlight w:val="none"/>
              </w:rPr>
            </w:pPr>
            <w:r>
              <w:rPr>
                <w:rFonts w:hint="eastAsia" w:ascii="仿宋_GB2312" w:eastAsia="仿宋_GB2312"/>
                <w:sz w:val="28"/>
                <w:szCs w:val="28"/>
                <w:highlight w:val="none"/>
              </w:rPr>
              <w:t>技术服务及培训</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highlight w:val="none"/>
              </w:rPr>
            </w:pPr>
            <w:r>
              <w:rPr>
                <w:rFonts w:hint="eastAsia" w:ascii="仿宋_GB2312" w:eastAsia="仿宋_GB2312"/>
                <w:sz w:val="28"/>
                <w:szCs w:val="28"/>
                <w:highlight w:val="none"/>
              </w:rPr>
              <w:t>其它（如：技术服务、设备质保情况说明；需要说明的技术特点；认为有利于自己的其他资料。）</w:t>
            </w:r>
          </w:p>
        </w:tc>
        <w:tc>
          <w:tcPr>
            <w:tcW w:w="1968" w:type="dxa"/>
            <w:noWrap w:val="0"/>
            <w:vAlign w:val="top"/>
          </w:tcPr>
          <w:p>
            <w:pP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技术响应</w:t>
            </w:r>
          </w:p>
        </w:tc>
        <w:tc>
          <w:tcPr>
            <w:tcW w:w="1968" w:type="dxa"/>
            <w:noWrap w:val="0"/>
            <w:vAlign w:val="top"/>
          </w:tcPr>
          <w:p>
            <w:pPr>
              <w:jc w:val="center"/>
              <w:rPr>
                <w:rFonts w:hint="eastAsia" w:ascii="仿宋" w:hAnsi="仿宋" w:eastAsia="仿宋"/>
                <w:sz w:val="28"/>
                <w:szCs w:val="28"/>
                <w:highlight w:val="none"/>
              </w:rPr>
            </w:pPr>
            <w:r>
              <w:rPr>
                <w:rFonts w:hint="eastAsia" w:ascii="仿宋" w:hAnsi="仿宋" w:eastAsia="仿宋"/>
                <w:sz w:val="28"/>
                <w:szCs w:val="28"/>
                <w:highlight w:val="none"/>
              </w:rPr>
              <w:t>Word版、PDF版</w:t>
            </w:r>
          </w:p>
        </w:tc>
        <w:tc>
          <w:tcPr>
            <w:tcW w:w="1644" w:type="dxa"/>
            <w:noWrap w:val="0"/>
            <w:vAlign w:val="top"/>
          </w:tcPr>
          <w:p>
            <w:pPr>
              <w:jc w:val="center"/>
              <w:rPr>
                <w:rFonts w:ascii="仿宋" w:hAnsi="仿宋" w:eastAsia="仿宋"/>
                <w:sz w:val="28"/>
                <w:szCs w:val="28"/>
                <w:highlight w:val="none"/>
              </w:rPr>
            </w:pPr>
            <w:r>
              <w:rPr>
                <w:rFonts w:hint="eastAsia" w:ascii="仿宋" w:hAnsi="仿宋" w:eastAsia="仿宋"/>
                <w:sz w:val="28"/>
                <w:szCs w:val="28"/>
                <w:highlight w:val="none"/>
              </w:rPr>
              <w:t>盖章</w:t>
            </w:r>
          </w:p>
        </w:tc>
        <w:tc>
          <w:tcPr>
            <w:tcW w:w="1111" w:type="dxa"/>
            <w:noWrap w:val="0"/>
            <w:vAlign w:val="center"/>
          </w:tcPr>
          <w:p>
            <w:pPr>
              <w:adjustRightInd w:val="0"/>
              <w:snapToGrid w:val="0"/>
              <w:jc w:val="center"/>
              <w:rPr>
                <w:rFonts w:hint="eastAsia"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技术偏离（附录6）</w:t>
            </w:r>
          </w:p>
        </w:tc>
        <w:tc>
          <w:tcPr>
            <w:tcW w:w="1968"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PDF版</w:t>
            </w:r>
          </w:p>
        </w:tc>
        <w:tc>
          <w:tcPr>
            <w:tcW w:w="1644" w:type="dxa"/>
            <w:noWrap w:val="0"/>
            <w:vAlign w:val="center"/>
          </w:tcPr>
          <w:p>
            <w:pPr>
              <w:adjustRightInd w:val="0"/>
              <w:snapToGrid w:val="0"/>
              <w:jc w:val="center"/>
              <w:rPr>
                <w:rFonts w:hint="eastAsia" w:ascii="仿宋_GB2312" w:eastAsia="仿宋_GB2312"/>
                <w:sz w:val="28"/>
                <w:szCs w:val="28"/>
                <w:highlight w:val="none"/>
              </w:rPr>
            </w:pPr>
            <w:r>
              <w:rPr>
                <w:rFonts w:hint="eastAsia" w:ascii="仿宋_GB2312" w:eastAsia="仿宋_GB2312"/>
                <w:sz w:val="28"/>
                <w:szCs w:val="28"/>
                <w:highlight w:val="none"/>
              </w:rPr>
              <w:t>签字并盖章</w:t>
            </w:r>
          </w:p>
        </w:tc>
        <w:tc>
          <w:tcPr>
            <w:tcW w:w="1111" w:type="dxa"/>
            <w:noWrap w:val="0"/>
            <w:vAlign w:val="center"/>
          </w:tcPr>
          <w:p>
            <w:pPr>
              <w:adjustRightInd w:val="0"/>
              <w:snapToGrid w:val="0"/>
              <w:jc w:val="center"/>
              <w:rPr>
                <w:rFonts w:ascii="仿宋_GB2312"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restart"/>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3</w:t>
            </w:r>
          </w:p>
        </w:tc>
        <w:tc>
          <w:tcPr>
            <w:tcW w:w="813" w:type="dxa"/>
            <w:vMerge w:val="restart"/>
            <w:noWrap w:val="0"/>
            <w:textDirection w:val="tbRlV"/>
            <w:vAlign w:val="center"/>
          </w:tcPr>
          <w:p>
            <w:pPr>
              <w:adjustRightInd w:val="0"/>
              <w:snapToGrid w:val="0"/>
              <w:ind w:left="113" w:right="113"/>
              <w:jc w:val="center"/>
              <w:rPr>
                <w:rFonts w:ascii="仿宋_GB2312" w:eastAsia="仿宋_GB2312"/>
                <w:sz w:val="28"/>
                <w:szCs w:val="28"/>
              </w:rPr>
            </w:pPr>
            <w:r>
              <w:rPr>
                <w:rFonts w:hint="eastAsia" w:ascii="仿宋_GB2312" w:eastAsia="仿宋_GB2312"/>
                <w:sz w:val="28"/>
                <w:szCs w:val="28"/>
              </w:rPr>
              <w:t>商务文件</w:t>
            </w:r>
          </w:p>
        </w:tc>
        <w:tc>
          <w:tcPr>
            <w:tcW w:w="2880" w:type="dxa"/>
            <w:noWrap w:val="0"/>
            <w:vAlign w:val="center"/>
          </w:tcPr>
          <w:p>
            <w:pPr>
              <w:adjustRightInd w:val="0"/>
              <w:snapToGrid w:val="0"/>
              <w:jc w:val="center"/>
              <w:rPr>
                <w:rFonts w:hint="eastAsia" w:ascii="仿宋_GB2312" w:eastAsia="仿宋_GB2312"/>
                <w:sz w:val="28"/>
                <w:szCs w:val="28"/>
              </w:rPr>
            </w:pPr>
            <w:r>
              <w:rPr>
                <w:rFonts w:hint="eastAsia" w:ascii="仿宋_GB2312" w:hAnsi="宋体" w:eastAsia="仿宋_GB2312"/>
                <w:sz w:val="28"/>
                <w:szCs w:val="28"/>
              </w:rPr>
              <w:t>谈判函（</w:t>
            </w:r>
            <w:r>
              <w:rPr>
                <w:rFonts w:hint="eastAsia" w:ascii="仿宋_GB2312" w:eastAsia="仿宋_GB2312"/>
                <w:sz w:val="28"/>
                <w:szCs w:val="28"/>
              </w:rPr>
              <w:t>附录3</w:t>
            </w:r>
            <w:r>
              <w:rPr>
                <w:rFonts w:hint="eastAsia" w:ascii="仿宋_GB2312" w:hAnsi="宋体" w:eastAsia="仿宋_GB2312"/>
                <w:sz w:val="28"/>
                <w:szCs w:val="28"/>
              </w:rPr>
              <w:t>）</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分项报价明细表（根据分项</w:t>
            </w:r>
            <w:r>
              <w:rPr>
                <w:rFonts w:ascii="仿宋_GB2312" w:hAnsi="宋体" w:eastAsia="仿宋_GB2312"/>
                <w:sz w:val="28"/>
                <w:szCs w:val="28"/>
              </w:rPr>
              <w:t>供货范围及配套件供货清单</w:t>
            </w:r>
            <w:r>
              <w:rPr>
                <w:rFonts w:hint="eastAsia" w:ascii="仿宋_GB2312" w:hAnsi="宋体" w:eastAsia="仿宋_GB2312"/>
                <w:sz w:val="28"/>
                <w:szCs w:val="28"/>
              </w:rPr>
              <w:t>自拟）</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谈判报价明细表（</w:t>
            </w:r>
            <w:r>
              <w:rPr>
                <w:rFonts w:hint="eastAsia" w:ascii="仿宋_GB2312" w:eastAsia="仿宋_GB2312"/>
                <w:sz w:val="28"/>
                <w:szCs w:val="28"/>
              </w:rPr>
              <w:t>附录4</w:t>
            </w:r>
            <w:r>
              <w:rPr>
                <w:rFonts w:hint="eastAsia" w:ascii="仿宋_GB2312" w:hAnsi="宋体" w:eastAsia="仿宋_GB2312"/>
                <w:sz w:val="28"/>
                <w:szCs w:val="28"/>
              </w:rPr>
              <w:t>）</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商务条款承诺（包括不限于：合同有效期、保障措施、违约赔偿、付款方式等）</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其它优惠承诺</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dxa"/>
            <w:vMerge w:val="continue"/>
            <w:noWrap w:val="0"/>
            <w:vAlign w:val="center"/>
          </w:tcPr>
          <w:p>
            <w:pPr>
              <w:adjustRightInd w:val="0"/>
              <w:snapToGrid w:val="0"/>
              <w:jc w:val="center"/>
              <w:rPr>
                <w:rFonts w:hint="eastAsia" w:ascii="仿宋_GB2312" w:eastAsia="仿宋_GB2312"/>
                <w:sz w:val="28"/>
                <w:szCs w:val="28"/>
              </w:rPr>
            </w:pPr>
          </w:p>
        </w:tc>
        <w:tc>
          <w:tcPr>
            <w:tcW w:w="813" w:type="dxa"/>
            <w:vMerge w:val="continue"/>
            <w:noWrap w:val="0"/>
            <w:vAlign w:val="center"/>
          </w:tcPr>
          <w:p>
            <w:pPr>
              <w:adjustRightInd w:val="0"/>
              <w:snapToGrid w:val="0"/>
              <w:jc w:val="center"/>
              <w:rPr>
                <w:rFonts w:hint="eastAsia" w:ascii="仿宋_GB2312" w:eastAsia="仿宋_GB2312"/>
                <w:sz w:val="28"/>
                <w:szCs w:val="28"/>
              </w:rPr>
            </w:pPr>
          </w:p>
        </w:tc>
        <w:tc>
          <w:tcPr>
            <w:tcW w:w="2880" w:type="dxa"/>
            <w:noWrap w:val="0"/>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商务偏离表（</w:t>
            </w:r>
            <w:r>
              <w:rPr>
                <w:rFonts w:hint="eastAsia" w:ascii="仿宋_GB2312" w:eastAsia="仿宋_GB2312"/>
                <w:sz w:val="28"/>
                <w:szCs w:val="28"/>
              </w:rPr>
              <w:t>附录5</w:t>
            </w:r>
            <w:r>
              <w:rPr>
                <w:rFonts w:hint="eastAsia" w:ascii="仿宋_GB2312" w:hAnsi="宋体" w:eastAsia="仿宋_GB2312"/>
                <w:sz w:val="28"/>
                <w:szCs w:val="28"/>
              </w:rPr>
              <w:t>）</w:t>
            </w:r>
          </w:p>
        </w:tc>
        <w:tc>
          <w:tcPr>
            <w:tcW w:w="1968"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PDF版</w:t>
            </w:r>
          </w:p>
        </w:tc>
        <w:tc>
          <w:tcPr>
            <w:tcW w:w="1644" w:type="dxa"/>
            <w:noWrap w:val="0"/>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签字并盖章</w:t>
            </w:r>
          </w:p>
        </w:tc>
        <w:tc>
          <w:tcPr>
            <w:tcW w:w="1111" w:type="dxa"/>
            <w:noWrap w:val="0"/>
            <w:vAlign w:val="center"/>
          </w:tcPr>
          <w:p>
            <w:pPr>
              <w:adjustRightInd w:val="0"/>
              <w:snapToGrid w:val="0"/>
              <w:jc w:val="center"/>
              <w:rPr>
                <w:rFonts w:hint="eastAsia" w:ascii="仿宋_GB2312" w:eastAsia="仿宋_GB2312"/>
                <w:sz w:val="28"/>
                <w:szCs w:val="28"/>
              </w:rPr>
            </w:pPr>
          </w:p>
        </w:tc>
      </w:tr>
    </w:tbl>
    <w:p>
      <w:pPr>
        <w:spacing w:line="560" w:lineRule="exact"/>
        <w:rPr>
          <w:rFonts w:hint="eastAsia" w:ascii="仿宋_GB2312" w:eastAsia="仿宋_GB2312"/>
          <w:sz w:val="28"/>
          <w:szCs w:val="28"/>
        </w:rPr>
      </w:pPr>
      <w:r>
        <w:rPr>
          <w:rFonts w:hint="eastAsia" w:ascii="仿宋_GB2312" w:eastAsia="仿宋_GB2312"/>
          <w:sz w:val="28"/>
          <w:szCs w:val="28"/>
        </w:rPr>
        <w:t>说明：</w:t>
      </w:r>
    </w:p>
    <w:p>
      <w:pPr>
        <w:spacing w:line="560" w:lineRule="exac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GB2 \* MERGEFORMAT </w:instrText>
      </w:r>
      <w:r>
        <w:rPr>
          <w:rFonts w:hint="eastAsia" w:ascii="仿宋_GB2312" w:eastAsia="仿宋_GB2312"/>
          <w:sz w:val="28"/>
          <w:szCs w:val="28"/>
        </w:rPr>
        <w:fldChar w:fldCharType="separate"/>
      </w:r>
      <w:r>
        <w:rPr>
          <w:sz w:val="28"/>
          <w:szCs w:val="28"/>
        </w:rPr>
        <w:t>⑴</w:t>
      </w:r>
      <w:r>
        <w:rPr>
          <w:rFonts w:hint="eastAsia" w:ascii="仿宋_GB2312" w:eastAsia="仿宋_GB2312"/>
          <w:sz w:val="28"/>
          <w:szCs w:val="28"/>
        </w:rPr>
        <w:fldChar w:fldCharType="end"/>
      </w:r>
      <w:r>
        <w:rPr>
          <w:rFonts w:hint="eastAsia" w:ascii="仿宋_GB2312" w:eastAsia="仿宋_GB2312"/>
          <w:sz w:val="28"/>
          <w:szCs w:val="28"/>
        </w:rPr>
        <w:t>报价说明</w:t>
      </w:r>
    </w:p>
    <w:p>
      <w:pPr>
        <w:spacing w:line="560" w:lineRule="exact"/>
        <w:ind w:left="630" w:leftChars="300" w:right="630" w:rightChars="300"/>
        <w:rPr>
          <w:rFonts w:hint="eastAsia" w:ascii="仿宋_GB2312" w:eastAsia="仿宋_GB2312"/>
          <w:sz w:val="28"/>
          <w:szCs w:val="28"/>
        </w:rPr>
      </w:pPr>
      <w:r>
        <w:rPr>
          <w:rFonts w:hint="eastAsia" w:ascii="仿宋_GB2312" w:eastAsia="仿宋_GB2312"/>
          <w:sz w:val="24"/>
        </w:rPr>
        <w:fldChar w:fldCharType="begin"/>
      </w:r>
      <w:r>
        <w:rPr>
          <w:rFonts w:hint="eastAsia" w:ascii="仿宋_GB2312" w:eastAsia="仿宋_GB2312"/>
          <w:sz w:val="24"/>
        </w:rPr>
        <w:instrText xml:space="preserve"> = 1 \* GB3 \* MERGEFORMAT </w:instrText>
      </w:r>
      <w:r>
        <w:rPr>
          <w:rFonts w:hint="eastAsia" w:ascii="仿宋_GB2312" w:eastAsia="仿宋_GB2312"/>
          <w:sz w:val="24"/>
        </w:rPr>
        <w:fldChar w:fldCharType="separate"/>
      </w:r>
      <w:r>
        <w:rPr>
          <w:sz w:val="24"/>
        </w:rPr>
        <w:t>①</w:t>
      </w:r>
      <w:r>
        <w:rPr>
          <w:rFonts w:hint="eastAsia" w:ascii="仿宋_GB2312" w:eastAsia="仿宋_GB2312"/>
          <w:sz w:val="24"/>
        </w:rPr>
        <w:fldChar w:fldCharType="end"/>
      </w:r>
      <w:r>
        <w:rPr>
          <w:rFonts w:hint="eastAsia" w:ascii="仿宋_GB2312" w:eastAsia="仿宋_GB2312"/>
          <w:sz w:val="28"/>
          <w:szCs w:val="28"/>
        </w:rPr>
        <w:t>谈判响应供应商应按照谈判文件中给出的《谈判报价明细表》格式（此格式不能更改，否则视为偏离）完成报价。</w:t>
      </w:r>
    </w:p>
    <w:p>
      <w:pPr>
        <w:spacing w:line="560" w:lineRule="exact"/>
        <w:ind w:left="630" w:leftChars="300" w:right="630" w:rightChars="300"/>
        <w:rPr>
          <w:rFonts w:hint="eastAsia" w:ascii="仿宋_GB2312" w:eastAsia="仿宋_GB2312"/>
          <w:sz w:val="28"/>
          <w:szCs w:val="28"/>
        </w:rPr>
      </w:pPr>
      <w:r>
        <w:rPr>
          <w:rFonts w:hint="eastAsia" w:ascii="仿宋_GB2312" w:eastAsia="仿宋_GB2312"/>
          <w:sz w:val="24"/>
        </w:rPr>
        <w:fldChar w:fldCharType="begin"/>
      </w:r>
      <w:r>
        <w:rPr>
          <w:rFonts w:hint="eastAsia" w:ascii="仿宋_GB2312" w:eastAsia="仿宋_GB2312"/>
          <w:sz w:val="24"/>
        </w:rPr>
        <w:instrText xml:space="preserve"> = 2 \* GB3 \* MERGEFORMAT </w:instrText>
      </w:r>
      <w:r>
        <w:rPr>
          <w:rFonts w:hint="eastAsia" w:ascii="仿宋_GB2312" w:eastAsia="仿宋_GB2312"/>
          <w:sz w:val="24"/>
        </w:rPr>
        <w:fldChar w:fldCharType="separate"/>
      </w:r>
      <w:r>
        <w:rPr>
          <w:sz w:val="24"/>
        </w:rPr>
        <w:t>②</w:t>
      </w:r>
      <w:r>
        <w:rPr>
          <w:rFonts w:hint="eastAsia" w:ascii="仿宋_GB2312" w:eastAsia="仿宋_GB2312"/>
          <w:sz w:val="24"/>
        </w:rPr>
        <w:fldChar w:fldCharType="end"/>
      </w:r>
      <w:r>
        <w:rPr>
          <w:rFonts w:hint="eastAsia" w:ascii="仿宋_GB2312" w:eastAsia="仿宋_GB2312"/>
          <w:sz w:val="28"/>
          <w:szCs w:val="28"/>
        </w:rPr>
        <w:t>谈判响应供应商必须根据技术规格书《</w:t>
      </w:r>
      <w:r>
        <w:rPr>
          <w:rFonts w:ascii="仿宋_GB2312" w:eastAsia="仿宋_GB2312"/>
          <w:sz w:val="28"/>
          <w:szCs w:val="28"/>
        </w:rPr>
        <w:t>供货范围及配套件供货清单</w:t>
      </w:r>
      <w:r>
        <w:rPr>
          <w:rFonts w:hint="eastAsia" w:ascii="仿宋_GB2312" w:eastAsia="仿宋_GB2312"/>
          <w:sz w:val="28"/>
          <w:szCs w:val="28"/>
        </w:rPr>
        <w:t>》要求提供详细报价明细表（总价必须与报价明细表一致）。</w:t>
      </w:r>
    </w:p>
    <w:p>
      <w:pPr>
        <w:spacing w:line="560" w:lineRule="exact"/>
        <w:ind w:left="630" w:leftChars="300" w:right="630" w:rightChars="300"/>
        <w:rPr>
          <w:rFonts w:hint="eastAsia" w:ascii="仿宋_GB2312" w:eastAsia="仿宋_GB2312"/>
          <w:sz w:val="28"/>
          <w:szCs w:val="28"/>
          <w:highlight w:val="none"/>
        </w:rPr>
      </w:pPr>
      <w:r>
        <w:rPr>
          <w:rFonts w:hint="eastAsia" w:ascii="仿宋_GB2312" w:eastAsia="仿宋_GB2312"/>
          <w:sz w:val="24"/>
          <w:highlight w:val="none"/>
        </w:rPr>
        <w:fldChar w:fldCharType="begin"/>
      </w:r>
      <w:r>
        <w:rPr>
          <w:rFonts w:hint="eastAsia" w:ascii="仿宋_GB2312" w:eastAsia="仿宋_GB2312"/>
          <w:sz w:val="24"/>
          <w:highlight w:val="none"/>
        </w:rPr>
        <w:instrText xml:space="preserve"> = 3 \* GB3 \* MERGEFORMAT </w:instrText>
      </w:r>
      <w:r>
        <w:rPr>
          <w:rFonts w:hint="eastAsia" w:ascii="仿宋_GB2312" w:eastAsia="仿宋_GB2312"/>
          <w:sz w:val="24"/>
          <w:highlight w:val="none"/>
        </w:rPr>
        <w:fldChar w:fldCharType="separate"/>
      </w:r>
      <w:r>
        <w:rPr>
          <w:sz w:val="24"/>
          <w:highlight w:val="none"/>
        </w:rPr>
        <w:t>③</w:t>
      </w:r>
      <w:r>
        <w:rPr>
          <w:rFonts w:hint="eastAsia" w:ascii="仿宋_GB2312" w:eastAsia="仿宋_GB2312"/>
          <w:sz w:val="24"/>
          <w:highlight w:val="none"/>
        </w:rPr>
        <w:fldChar w:fldCharType="end"/>
      </w:r>
      <w:r>
        <w:rPr>
          <w:rFonts w:hint="eastAsia" w:ascii="仿宋_GB2312" w:eastAsia="仿宋_GB2312"/>
          <w:sz w:val="28"/>
          <w:szCs w:val="28"/>
          <w:highlight w:val="none"/>
        </w:rPr>
        <w:t>谈判总价为闭口价。包含服务费、培训费等全部费用但不限于此。</w:t>
      </w:r>
    </w:p>
    <w:p>
      <w:pPr>
        <w:spacing w:line="560" w:lineRule="exact"/>
        <w:ind w:left="0" w:leftChars="0" w:right="0" w:rightChars="0"/>
        <w:rPr>
          <w:rFonts w:hint="eastAsia" w:ascii="仿宋_GB2312" w:eastAsia="仿宋_GB2312"/>
          <w:sz w:val="28"/>
          <w:szCs w:val="28"/>
        </w:rPr>
      </w:pPr>
    </w:p>
    <w:p>
      <w:pPr>
        <w:spacing w:line="560" w:lineRule="exact"/>
        <w:ind w:right="0" w:rightChars="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2 \* GB2 \* MERGEFORMAT </w:instrText>
      </w:r>
      <w:r>
        <w:rPr>
          <w:rFonts w:hint="eastAsia" w:ascii="仿宋_GB2312" w:eastAsia="仿宋_GB2312"/>
          <w:sz w:val="28"/>
          <w:szCs w:val="28"/>
        </w:rPr>
        <w:fldChar w:fldCharType="separate"/>
      </w:r>
      <w:r>
        <w:rPr>
          <w:rFonts w:hint="eastAsia" w:ascii="仿宋_GB2312" w:eastAsia="仿宋_GB2312"/>
          <w:sz w:val="28"/>
          <w:szCs w:val="28"/>
        </w:rPr>
        <w:t>⑵</w:t>
      </w:r>
      <w:r>
        <w:rPr>
          <w:rFonts w:hint="eastAsia" w:ascii="仿宋_GB2312" w:eastAsia="仿宋_GB2312"/>
          <w:sz w:val="28"/>
          <w:szCs w:val="28"/>
        </w:rPr>
        <w:fldChar w:fldCharType="end"/>
      </w:r>
      <w:r>
        <w:rPr>
          <w:rFonts w:hint="eastAsia" w:ascii="仿宋_GB2312" w:eastAsia="仿宋_GB2312"/>
          <w:sz w:val="28"/>
          <w:szCs w:val="28"/>
        </w:rPr>
        <w:t>谈判响应供应商提供材料无格式文本的格式自拟。</w:t>
      </w:r>
    </w:p>
    <w:p>
      <w:pPr>
        <w:spacing w:line="560" w:lineRule="exact"/>
        <w:rPr>
          <w:rFonts w:hint="eastAsia" w:ascii="仿宋_GB2312" w:eastAsia="仿宋_GB2312"/>
          <w:sz w:val="28"/>
          <w:szCs w:val="28"/>
        </w:rPr>
      </w:pP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 3 \* GB2 \* MERGEFORMAT </w:instrText>
      </w:r>
      <w:r>
        <w:rPr>
          <w:rFonts w:hint="eastAsia" w:ascii="仿宋_GB2312" w:eastAsia="仿宋_GB2312"/>
          <w:b w:val="0"/>
          <w:bCs w:val="0"/>
          <w:sz w:val="28"/>
          <w:szCs w:val="28"/>
        </w:rPr>
        <w:fldChar w:fldCharType="separate"/>
      </w:r>
      <w:r>
        <w:rPr>
          <w:rFonts w:hint="eastAsia" w:ascii="仿宋_GB2312" w:eastAsia="仿宋_GB2312"/>
          <w:sz w:val="28"/>
          <w:szCs w:val="28"/>
        </w:rPr>
        <w:t>⑶</w:t>
      </w:r>
      <w:r>
        <w:rPr>
          <w:rFonts w:hint="eastAsia" w:ascii="仿宋_GB2312" w:eastAsia="仿宋_GB2312"/>
          <w:b w:val="0"/>
          <w:bCs w:val="0"/>
          <w:sz w:val="28"/>
          <w:szCs w:val="28"/>
        </w:rPr>
        <w:fldChar w:fldCharType="end"/>
      </w:r>
      <w:r>
        <w:rPr>
          <w:rFonts w:hint="eastAsia" w:ascii="仿宋_GB2312" w:eastAsia="仿宋_GB2312"/>
          <w:sz w:val="28"/>
          <w:szCs w:val="28"/>
        </w:rPr>
        <w:t>谈判文件签字或盖章要求：需要签字并盖章的应有法定代表人或授权代理人签字并加盖公章或谈判专用章，其他印章谈判小组有权视为无效投谈判。</w:t>
      </w:r>
    </w:p>
    <w:p>
      <w:pPr>
        <w:spacing w:line="560" w:lineRule="exac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4 \* GB2 \* MERGEFORMAT </w:instrText>
      </w:r>
      <w:r>
        <w:rPr>
          <w:rFonts w:hint="eastAsia" w:ascii="仿宋_GB2312" w:eastAsia="仿宋_GB2312"/>
          <w:sz w:val="28"/>
          <w:szCs w:val="28"/>
        </w:rPr>
        <w:fldChar w:fldCharType="separate"/>
      </w:r>
      <w:r>
        <w:rPr>
          <w:rFonts w:hint="eastAsia" w:ascii="仿宋_GB2312" w:eastAsia="仿宋_GB2312"/>
          <w:sz w:val="28"/>
          <w:szCs w:val="28"/>
        </w:rPr>
        <w:t>⑷</w:t>
      </w:r>
      <w:r>
        <w:rPr>
          <w:rFonts w:hint="eastAsia" w:ascii="仿宋_GB2312" w:eastAsia="仿宋_GB2312"/>
          <w:sz w:val="28"/>
          <w:szCs w:val="28"/>
        </w:rPr>
        <w:fldChar w:fldCharType="end"/>
      </w:r>
      <w:r>
        <w:rPr>
          <w:rFonts w:hint="eastAsia" w:ascii="仿宋_GB2312" w:eastAsia="仿宋_GB2312"/>
          <w:sz w:val="28"/>
          <w:szCs w:val="28"/>
        </w:rPr>
        <w:t>商务偏离/技术偏离不填写默认为响应谈判文件要求。</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附录1：法定代表人身份证明书（格式）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附录2：授权委托书（格式）</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附录3：谈判承诺函</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附录4：谈判报价明细表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附录5：技术规格偏离表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附录6：商务条款偏离表</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附录7：供应商信息表</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rPr>
        <w:sectPr>
          <w:pgSz w:w="11907" w:h="16840"/>
          <w:pgMar w:top="1985" w:right="1474" w:bottom="1985" w:left="1588" w:header="851" w:footer="1077" w:gutter="0"/>
          <w:cols w:space="720" w:num="1"/>
          <w:docGrid w:linePitch="326" w:charSpace="0"/>
        </w:sectPr>
      </w:pPr>
    </w:p>
    <w:p>
      <w:pPr>
        <w:pStyle w:val="5"/>
        <w:spacing w:line="520" w:lineRule="exact"/>
        <w:ind w:firstLine="0" w:firstLineChars="0"/>
        <w:jc w:val="left"/>
        <w:outlineLvl w:val="0"/>
        <w:rPr>
          <w:rFonts w:hint="eastAsia" w:ascii="仿宋_GB2312" w:hAnsi="宋体" w:eastAsia="仿宋_GB2312"/>
          <w:sz w:val="24"/>
          <w:szCs w:val="28"/>
        </w:rPr>
      </w:pPr>
      <w:r>
        <w:rPr>
          <w:rFonts w:hint="eastAsia" w:ascii="仿宋_GB2312" w:hAnsi="宋体" w:eastAsia="仿宋_GB2312"/>
          <w:sz w:val="24"/>
          <w:szCs w:val="28"/>
        </w:rPr>
        <w:t>附录1</w:t>
      </w:r>
    </w:p>
    <w:p>
      <w:pPr>
        <w:pStyle w:val="5"/>
        <w:spacing w:line="520" w:lineRule="exact"/>
        <w:ind w:firstLine="0" w:firstLineChars="0"/>
        <w:jc w:val="center"/>
        <w:outlineLvl w:val="0"/>
        <w:rPr>
          <w:rFonts w:hint="eastAsia" w:ascii="黑体" w:hAnsi="黑体" w:eastAsia="黑体" w:cs="黑体"/>
          <w:b/>
          <w:bCs/>
          <w:sz w:val="32"/>
          <w:szCs w:val="32"/>
        </w:rPr>
      </w:pPr>
      <w:r>
        <w:rPr>
          <w:rFonts w:hint="eastAsia" w:ascii="黑体" w:hAnsi="黑体" w:eastAsia="黑体" w:cs="黑体"/>
          <w:b/>
          <w:bCs/>
          <w:sz w:val="32"/>
          <w:szCs w:val="32"/>
        </w:rPr>
        <w:t>法定代表人身份证明书（格式）</w:t>
      </w:r>
    </w:p>
    <w:p>
      <w:pPr>
        <w:spacing w:line="560" w:lineRule="exac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法定代表人姓名）在</w:t>
      </w:r>
      <w:r>
        <w:rPr>
          <w:rFonts w:hint="eastAsia" w:ascii="仿宋_GB2312" w:eastAsia="仿宋_GB2312"/>
          <w:sz w:val="28"/>
          <w:szCs w:val="28"/>
          <w:u w:val="single"/>
        </w:rPr>
        <w:t xml:space="preserve">    </w:t>
      </w:r>
      <w:r>
        <w:rPr>
          <w:rFonts w:hint="eastAsia" w:ascii="仿宋_GB2312" w:eastAsia="仿宋_GB2312"/>
          <w:sz w:val="28"/>
          <w:szCs w:val="28"/>
        </w:rPr>
        <w:t>（单位名称） 任</w:t>
      </w:r>
      <w:r>
        <w:rPr>
          <w:rFonts w:hint="eastAsia" w:ascii="仿宋_GB2312" w:eastAsia="仿宋_GB2312"/>
          <w:sz w:val="28"/>
          <w:szCs w:val="28"/>
          <w:u w:val="single"/>
        </w:rPr>
        <w:t xml:space="preserve">      </w:t>
      </w:r>
      <w:r>
        <w:rPr>
          <w:rFonts w:hint="eastAsia" w:ascii="仿宋_GB2312" w:eastAsia="仿宋_GB2312"/>
          <w:sz w:val="28"/>
          <w:szCs w:val="28"/>
        </w:rPr>
        <w:t>（职务名称） 职务，是</w:t>
      </w:r>
      <w:r>
        <w:rPr>
          <w:rFonts w:hint="eastAsia" w:ascii="仿宋_GB2312" w:eastAsia="仿宋_GB2312"/>
          <w:sz w:val="28"/>
          <w:szCs w:val="28"/>
          <w:u w:val="single"/>
        </w:rPr>
        <w:t xml:space="preserve">                       </w:t>
      </w:r>
      <w:r>
        <w:rPr>
          <w:rFonts w:hint="eastAsia" w:ascii="仿宋_GB2312" w:eastAsia="仿宋_GB2312"/>
          <w:sz w:val="28"/>
          <w:szCs w:val="28"/>
        </w:rPr>
        <w:t>（单位名称）的法定代表人。</w:t>
      </w:r>
    </w:p>
    <w:p>
      <w:pPr>
        <w:spacing w:line="560" w:lineRule="exact"/>
        <w:ind w:firstLine="560" w:firstLineChars="200"/>
        <w:rPr>
          <w:rFonts w:hint="eastAsia" w:ascii="仿宋_GB2312" w:eastAsia="仿宋_GB2312"/>
          <w:sz w:val="28"/>
          <w:szCs w:val="28"/>
        </w:rPr>
      </w:pPr>
    </w:p>
    <w:p>
      <w:pPr>
        <w:spacing w:line="560" w:lineRule="exact"/>
        <w:ind w:firstLine="1120" w:firstLineChars="400"/>
        <w:rPr>
          <w:rFonts w:hint="eastAsia" w:ascii="仿宋_GB2312" w:eastAsia="仿宋_GB2312"/>
          <w:sz w:val="28"/>
          <w:szCs w:val="28"/>
        </w:rPr>
      </w:pPr>
      <w:r>
        <w:rPr>
          <w:rFonts w:hint="eastAsia" w:ascii="仿宋_GB2312" w:eastAsia="仿宋_GB2312"/>
          <w:sz w:val="28"/>
          <w:szCs w:val="28"/>
        </w:rPr>
        <w:t>特此证明！</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单位名称（公章）：</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年   月   日</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附：上述法定代表人住址：</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身份证号码：</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传    真：</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邮政编码：</w: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182245</wp:posOffset>
                </wp:positionV>
                <wp:extent cx="2333625" cy="1584325"/>
                <wp:effectExtent l="4445" t="4445" r="5080" b="11430"/>
                <wp:wrapNone/>
                <wp:docPr id="4"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p>
                            <w:pPr>
                              <w:jc w:val="center"/>
                              <w:rPr>
                                <w:rFonts w:hint="eastAsia"/>
                                <w:szCs w:val="21"/>
                              </w:rPr>
                            </w:pPr>
                            <w:r>
                              <w:rPr>
                                <w:rFonts w:hint="eastAsia" w:hAnsi="宋体"/>
                                <w:szCs w:val="21"/>
                              </w:rPr>
                              <w:t>反面</w:t>
                            </w:r>
                          </w:p>
                        </w:txbxContent>
                      </wps:txbx>
                      <wps:bodyPr wrap="square" upright="1"/>
                    </wps:wsp>
                  </a:graphicData>
                </a:graphic>
              </wp:anchor>
            </w:drawing>
          </mc:Choice>
          <mc:Fallback>
            <w:pict>
              <v:shape id="自选图形 8" o:spid="_x0000_s1026" o:spt="176" type="#_x0000_t176" style="position:absolute;left:0pt;margin-left:220.5pt;margin-top:14.35pt;height:124.75pt;width:183.75pt;z-index:251662336;mso-width-relative:page;mso-height-relative:page;" fillcolor="#FFFFFF" filled="t" stroked="t" coordsize="21600,21600" o:gfxdata="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ZZUQNgAAAAKAQAADwAAAAAAAAABACAAAAAi&#10;AAAAZHJzL2Rvd25yZXYueG1sUEsBAhQAFAAAAAgAh07iQDbl/lgKAgAABQQAAA4AAAAAAAAAAQAg&#10;AAAAJwEAAGRycy9lMm9Eb2MueG1sUEsFBgAAAAAGAAYAWQEAAKM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p>
                      <w:pPr>
                        <w:jc w:val="center"/>
                        <w:rPr>
                          <w:rFonts w:hint="eastAsia"/>
                          <w:szCs w:val="21"/>
                        </w:rPr>
                      </w:pPr>
                      <w:r>
                        <w:rPr>
                          <w:rFonts w:hint="eastAsia" w:hAnsi="宋体"/>
                          <w:szCs w:val="21"/>
                        </w:rPr>
                        <w:t>反面</w:t>
                      </w: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163195</wp:posOffset>
                </wp:positionV>
                <wp:extent cx="2333625" cy="1584325"/>
                <wp:effectExtent l="4445" t="4445" r="5080" b="11430"/>
                <wp:wrapNone/>
                <wp:docPr id="2"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p>
                            <w:pPr>
                              <w:jc w:val="center"/>
                              <w:rPr>
                                <w:rFonts w:hint="eastAsia"/>
                                <w:szCs w:val="21"/>
                              </w:rPr>
                            </w:pPr>
                            <w:r>
                              <w:rPr>
                                <w:rFonts w:hint="eastAsia" w:hAnsi="宋体"/>
                                <w:szCs w:val="21"/>
                              </w:rPr>
                              <w:t>正面</w:t>
                            </w:r>
                          </w:p>
                        </w:txbxContent>
                      </wps:txbx>
                      <wps:bodyPr wrap="square" upright="1"/>
                    </wps:wsp>
                  </a:graphicData>
                </a:graphic>
              </wp:anchor>
            </w:drawing>
          </mc:Choice>
          <mc:Fallback>
            <w:pict>
              <v:shape id="自选图形 9" o:spid="_x0000_s1026" o:spt="176" type="#_x0000_t176" style="position:absolute;left:0pt;margin-left:9.75pt;margin-top:12.85pt;height:124.75pt;width:183.75pt;z-index:251660288;mso-width-relative:page;mso-height-relative:page;" fillcolor="#FFFFFF" filled="t" stroked="t" coordsize="21600,21600" o:gfxdata="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DWJTXAAAACQEAAA8AAAAAAAAAAQAgAAAAIgAA&#10;AGRycy9kb3ducmV2LnhtbFBLAQIUABQAAAAIAIdO4kASQekZCQIAAAUEAAAOAAAAAAAAAAEAIAAA&#10;ACY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p>
                      <w:pPr>
                        <w:jc w:val="center"/>
                        <w:rPr>
                          <w:rFonts w:hint="eastAsia"/>
                          <w:szCs w:val="21"/>
                        </w:rPr>
                      </w:pPr>
                      <w:r>
                        <w:rPr>
                          <w:rFonts w:hint="eastAsia" w:hAnsi="宋体"/>
                          <w:szCs w:val="21"/>
                        </w:rPr>
                        <w:t>正面</w:t>
                      </w:r>
                    </w:p>
                  </w:txbxContent>
                </v:textbox>
              </v:shape>
            </w:pict>
          </mc:Fallback>
        </mc:AlternateContent>
      </w: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p>
    <w:p>
      <w:pPr>
        <w:spacing w:line="560" w:lineRule="exact"/>
        <w:rPr>
          <w:rFonts w:hint="eastAsia" w:ascii="仿宋_GB2312" w:hAnsi="宋体" w:eastAsia="仿宋_GB2312"/>
          <w:b/>
          <w:sz w:val="28"/>
          <w:szCs w:val="28"/>
        </w:rPr>
        <w:sectPr>
          <w:pgSz w:w="11907" w:h="16840"/>
          <w:pgMar w:top="1985" w:right="1474" w:bottom="1985" w:left="1588" w:header="851" w:footer="1077" w:gutter="0"/>
          <w:cols w:space="720" w:num="1"/>
          <w:docGrid w:linePitch="326" w:charSpace="0"/>
        </w:sectPr>
      </w:pPr>
    </w:p>
    <w:p>
      <w:pPr>
        <w:pStyle w:val="5"/>
        <w:spacing w:line="520" w:lineRule="exact"/>
        <w:ind w:firstLine="0" w:firstLineChars="0"/>
        <w:jc w:val="left"/>
        <w:outlineLvl w:val="0"/>
        <w:rPr>
          <w:rFonts w:hint="eastAsia" w:ascii="仿宋_GB2312" w:hAnsi="宋体" w:eastAsia="仿宋_GB2312"/>
          <w:sz w:val="24"/>
          <w:szCs w:val="28"/>
        </w:rPr>
      </w:pPr>
      <w:r>
        <w:rPr>
          <w:rFonts w:hint="eastAsia" w:ascii="仿宋_GB2312" w:hAnsi="宋体" w:eastAsia="仿宋_GB2312"/>
          <w:sz w:val="24"/>
          <w:szCs w:val="28"/>
        </w:rPr>
        <w:t>附录2</w:t>
      </w:r>
    </w:p>
    <w:p>
      <w:pPr>
        <w:pStyle w:val="5"/>
        <w:spacing w:line="520" w:lineRule="exact"/>
        <w:ind w:firstLine="0" w:firstLineChars="0"/>
        <w:jc w:val="center"/>
        <w:outlineLvl w:val="0"/>
        <w:rPr>
          <w:rFonts w:hint="eastAsia" w:ascii="黑体" w:hAnsi="黑体" w:eastAsia="黑体"/>
          <w:sz w:val="32"/>
          <w:szCs w:val="32"/>
        </w:rPr>
      </w:pPr>
      <w:r>
        <w:rPr>
          <w:rFonts w:hint="eastAsia" w:ascii="黑体" w:hAnsi="黑体" w:eastAsia="黑体"/>
          <w:sz w:val="32"/>
          <w:szCs w:val="32"/>
        </w:rPr>
        <w:t>授权委托书（格式）</w:t>
      </w:r>
    </w:p>
    <w:p>
      <w:pPr>
        <w:tabs>
          <w:tab w:val="left" w:pos="6300"/>
        </w:tabs>
        <w:snapToGrid w:val="0"/>
        <w:spacing w:line="400" w:lineRule="exact"/>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p>
    <w:p>
      <w:pPr>
        <w:tabs>
          <w:tab w:val="left" w:pos="6300"/>
        </w:tabs>
        <w:snapToGrid w:val="0"/>
        <w:spacing w:line="40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委托人单位名称：</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住   所   地：</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法定代表人：               职务：</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邮编：                联系电话：</w:t>
      </w:r>
    </w:p>
    <w:p>
      <w:pPr>
        <w:tabs>
          <w:tab w:val="left" w:pos="6300"/>
        </w:tabs>
        <w:snapToGrid w:val="0"/>
        <w:spacing w:line="40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受委托人姓名：</w:t>
      </w:r>
      <w:r>
        <w:rPr>
          <w:rFonts w:hint="eastAsia" w:ascii="仿宋_GB2312" w:hAnsi="宋体" w:eastAsia="仿宋_GB2312"/>
          <w:sz w:val="28"/>
          <w:szCs w:val="28"/>
        </w:rPr>
        <w:t xml:space="preserve">               性别         职务     </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工作单位：</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住址： </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身份证号：                                  </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w:t>
      </w:r>
    </w:p>
    <w:p>
      <w:pPr>
        <w:tabs>
          <w:tab w:val="left" w:pos="6300"/>
        </w:tabs>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委托人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现授权上述受委托人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全权代表我单位参与</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项目谈判，并签署全部有关的文件、协议及合同，我单位承诺受上述受委托人签署的全部文件、协议、合同和其代理行为的约束，并承担由此产生的全部责任。</w:t>
      </w:r>
    </w:p>
    <w:p>
      <w:pPr>
        <w:tabs>
          <w:tab w:val="left" w:pos="6300"/>
        </w:tabs>
        <w:snapToGrid w:val="0"/>
        <w:spacing w:line="400" w:lineRule="exact"/>
        <w:ind w:firstLine="555"/>
        <w:rPr>
          <w:rFonts w:hint="eastAsia" w:ascii="仿宋_GB2312" w:hAnsi="宋体" w:eastAsia="仿宋_GB2312"/>
          <w:sz w:val="28"/>
          <w:szCs w:val="28"/>
        </w:rPr>
      </w:pPr>
      <w:r>
        <w:rPr>
          <w:rFonts w:hint="eastAsia" w:ascii="仿宋_GB2312" w:hAnsi="宋体" w:eastAsia="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400" w:lineRule="exact"/>
        <w:rPr>
          <w:rFonts w:hint="eastAsia" w:ascii="仿宋_GB2312" w:hAnsi="宋体" w:eastAsia="仿宋_GB2312"/>
          <w:sz w:val="28"/>
          <w:szCs w:val="28"/>
        </w:rPr>
      </w:pPr>
    </w:p>
    <w:p>
      <w:pPr>
        <w:tabs>
          <w:tab w:val="left" w:pos="6300"/>
        </w:tabs>
        <w:snapToGrid w:val="0"/>
        <w:spacing w:line="400" w:lineRule="exact"/>
        <w:ind w:left="525" w:leftChars="250"/>
        <w:rPr>
          <w:rFonts w:hint="eastAsia" w:ascii="仿宋_GB2312" w:hAnsi="宋体" w:eastAsia="仿宋_GB2312"/>
          <w:sz w:val="28"/>
          <w:szCs w:val="28"/>
        </w:rPr>
      </w:pPr>
      <w:r>
        <w:rPr>
          <w:rFonts w:hint="eastAsia" w:ascii="仿宋_GB2312" w:hAnsi="宋体" w:eastAsia="仿宋_GB2312"/>
          <w:sz w:val="28"/>
          <w:szCs w:val="28"/>
        </w:rPr>
        <w:t>受委托人签名：                      委托人               （盖章）</w:t>
      </w:r>
    </w:p>
    <w:p>
      <w:pPr>
        <w:tabs>
          <w:tab w:val="left" w:pos="6300"/>
        </w:tabs>
        <w:snapToGrid w:val="0"/>
        <w:spacing w:line="400" w:lineRule="exact"/>
        <w:ind w:firstLine="700" w:firstLineChars="250"/>
        <w:rPr>
          <w:rFonts w:hint="eastAsia" w:ascii="仿宋_GB2312" w:hAnsi="宋体" w:eastAsia="仿宋_GB2312"/>
          <w:sz w:val="28"/>
          <w:szCs w:val="28"/>
        </w:rPr>
      </w:pPr>
      <w:r>
        <w:rPr>
          <w:rFonts w:hint="eastAsia" w:ascii="仿宋_GB2312" w:hAnsi="宋体" w:eastAsia="仿宋_GB2312"/>
          <w:sz w:val="28"/>
          <w:szCs w:val="28"/>
        </w:rPr>
        <w:t>日期                                法定代表人签名：</w:t>
      </w:r>
    </w:p>
    <w:p>
      <w:pPr>
        <w:tabs>
          <w:tab w:val="left" w:pos="6300"/>
        </w:tabs>
        <w:snapToGrid w:val="0"/>
        <w:spacing w:line="400" w:lineRule="exact"/>
        <w:rPr>
          <w:rFonts w:hint="eastAsia" w:ascii="仿宋_GB2312" w:hAnsi="宋体" w:eastAsia="仿宋_GB2312"/>
          <w:sz w:val="28"/>
          <w:szCs w:val="28"/>
        </w:rPr>
      </w:pPr>
      <w:r>
        <w:rPr>
          <w:rFonts w:hint="eastAsia" w:ascii="仿宋_GB2312" w:hAnsi="宋体" w:eastAsia="仿宋_GB2312"/>
          <w:sz w:val="28"/>
          <w:szCs w:val="28"/>
        </w:rPr>
        <w:t xml:space="preserve">                                         日期：</w:t>
      </w:r>
    </w:p>
    <w:p>
      <w:pPr>
        <w:snapToGrid w:val="0"/>
        <w:spacing w:line="400" w:lineRule="exact"/>
        <w:rPr>
          <w:rFonts w:hint="eastAsia" w:ascii="仿宋_GB2312" w:eastAsia="仿宋_GB2312"/>
          <w:sz w:val="28"/>
          <w:szCs w:val="28"/>
        </w:rPr>
      </w:pPr>
      <w:r>
        <w:rPr>
          <w:rFonts w:hint="eastAsia" w:ascii="仿宋_GB2312" w:eastAsia="仿宋_GB2312"/>
          <w:sz w:val="28"/>
          <w:szCs w:val="28"/>
        </w:rPr>
        <w:t xml:space="preserve">                                          </w:t>
      </w:r>
    </w:p>
    <w:p>
      <w:pPr>
        <w:spacing w:line="400" w:lineRule="exact"/>
        <w:ind w:firstLine="420"/>
        <w:rPr>
          <w:rFonts w:hint="eastAsia" w:ascii="仿宋_GB2312" w:hAnsi="仿宋" w:eastAsia="仿宋_GB2312"/>
          <w:sz w:val="28"/>
          <w:szCs w:val="28"/>
          <w:u w:val="single"/>
        </w:rPr>
      </w:pPr>
      <w:r>
        <w:rPr>
          <w:rFonts w:hint="eastAsia" w:ascii="仿宋_GB2312" w:hAnsi="仿宋" w:eastAsia="仿宋_GB2312"/>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2781300</wp:posOffset>
                </wp:positionH>
                <wp:positionV relativeFrom="paragraph">
                  <wp:posOffset>147320</wp:posOffset>
                </wp:positionV>
                <wp:extent cx="2333625" cy="1584325"/>
                <wp:effectExtent l="4445" t="4445" r="5080" b="11430"/>
                <wp:wrapNone/>
                <wp:docPr id="5"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r>
                              <w:rPr>
                                <w:rFonts w:hint="eastAsia" w:hAnsi="宋体"/>
                                <w:szCs w:val="21"/>
                              </w:rPr>
                              <w:t>受委托人身份证复印件</w:t>
                            </w:r>
                          </w:p>
                          <w:p>
                            <w:pPr>
                              <w:jc w:val="center"/>
                              <w:rPr>
                                <w:rFonts w:hint="eastAsia"/>
                                <w:szCs w:val="21"/>
                              </w:rPr>
                            </w:pPr>
                            <w:r>
                              <w:rPr>
                                <w:rFonts w:hint="eastAsia" w:hAnsi="宋体"/>
                                <w:szCs w:val="21"/>
                              </w:rPr>
                              <w:t>反面</w:t>
                            </w:r>
                          </w:p>
                        </w:txbxContent>
                      </wps:txbx>
                      <wps:bodyPr wrap="square" upright="1"/>
                    </wps:wsp>
                  </a:graphicData>
                </a:graphic>
              </wp:anchor>
            </w:drawing>
          </mc:Choice>
          <mc:Fallback>
            <w:pict>
              <v:shape id="自选图形 10" o:spid="_x0000_s1026" o:spt="176" type="#_x0000_t176" style="position:absolute;left:0pt;margin-left:219pt;margin-top:11.6pt;height:124.75pt;width:183.75pt;z-index:251663360;mso-width-relative:page;mso-height-relative:page;" fillcolor="#FFFFFF" filled="t" stroked="t" coordsize="21600,21600" o:gfxdata="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Ay1V2QAAAAoBAAAPAAAAAAAAAAEAIAAAACIA&#10;AABkcnMvZG93bnJldi54bWxQSwECFAAUAAAACACHTuJAlM+nHggCAAAGBAAADgAAAAAAAAABACAA&#10;AAAoAQAAZHJzL2Uyb0RvYy54bWxQSwUGAAAAAAYABgBZAQAAo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r>
                        <w:rPr>
                          <w:rFonts w:hint="eastAsia" w:hAnsi="宋体"/>
                          <w:szCs w:val="21"/>
                        </w:rPr>
                        <w:t>受委托人身份证复印件</w:t>
                      </w:r>
                    </w:p>
                    <w:p>
                      <w:pPr>
                        <w:jc w:val="center"/>
                        <w:rPr>
                          <w:rFonts w:hint="eastAsia"/>
                          <w:szCs w:val="21"/>
                        </w:rPr>
                      </w:pPr>
                      <w:r>
                        <w:rPr>
                          <w:rFonts w:hint="eastAsia" w:hAnsi="宋体"/>
                          <w:szCs w:val="21"/>
                        </w:rPr>
                        <w:t>反面</w:t>
                      </w:r>
                    </w:p>
                  </w:txbxContent>
                </v:textbox>
              </v:shape>
            </w:pict>
          </mc:Fallback>
        </mc:AlternateContent>
      </w:r>
      <w:r>
        <w:rPr>
          <w:rFonts w:hint="eastAsia" w:ascii="仿宋_GB2312" w:hAnsi="仿宋" w:eastAsia="仿宋_GB2312"/>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147320</wp:posOffset>
                </wp:positionV>
                <wp:extent cx="2333625" cy="1584325"/>
                <wp:effectExtent l="4445" t="4445" r="5080" b="11430"/>
                <wp:wrapNone/>
                <wp:docPr id="3" name="自选图形 2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r>
                              <w:rPr>
                                <w:rFonts w:hint="eastAsia" w:hAnsi="宋体"/>
                                <w:szCs w:val="21"/>
                              </w:rPr>
                              <w:t>受委托人身份证复印件</w:t>
                            </w:r>
                          </w:p>
                          <w:p>
                            <w:pPr>
                              <w:jc w:val="center"/>
                              <w:rPr>
                                <w:rFonts w:hint="eastAsia"/>
                                <w:szCs w:val="21"/>
                              </w:rPr>
                            </w:pPr>
                            <w:r>
                              <w:rPr>
                                <w:rFonts w:hint="eastAsia" w:hAnsi="宋体"/>
                                <w:szCs w:val="21"/>
                              </w:rPr>
                              <w:t>正面</w:t>
                            </w:r>
                          </w:p>
                        </w:txbxContent>
                      </wps:txbx>
                      <wps:bodyPr wrap="square" upright="1"/>
                    </wps:wsp>
                  </a:graphicData>
                </a:graphic>
              </wp:anchor>
            </w:drawing>
          </mc:Choice>
          <mc:Fallback>
            <w:pict>
              <v:shape id="自选图形 24" o:spid="_x0000_s1026" o:spt="176" type="#_x0000_t176" style="position:absolute;left:0pt;margin-left:7.5pt;margin-top:11.6pt;height:124.75pt;width:183.75pt;z-index:251661312;mso-width-relative:page;mso-height-relative:page;" fillcolor="#FFFFFF" filled="t" stroked="t" coordsize="21600,21600" o:gfxdata="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xgSiHWAAAACQEAAA8AAAAAAAAAAQAgAAAAIgAA&#10;AGRycy9kb3ducmV2LnhtbFBLAQIUABQAAAAIAIdO4kCeb+5yCgIAAAYEAAAOAAAAAAAAAAEAIAAA&#10;ACUBAABkcnMvZTJvRG9jLnhtbFBLBQYAAAAABgAGAFkBAACh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r>
                        <w:rPr>
                          <w:rFonts w:hint="eastAsia" w:hAnsi="宋体"/>
                          <w:szCs w:val="21"/>
                        </w:rPr>
                        <w:t>受委托人身份证复印件</w:t>
                      </w:r>
                    </w:p>
                    <w:p>
                      <w:pPr>
                        <w:jc w:val="center"/>
                        <w:rPr>
                          <w:rFonts w:hint="eastAsia"/>
                          <w:szCs w:val="21"/>
                        </w:rPr>
                      </w:pPr>
                      <w:r>
                        <w:rPr>
                          <w:rFonts w:hint="eastAsia" w:hAnsi="宋体"/>
                          <w:szCs w:val="21"/>
                        </w:rPr>
                        <w:t>正面</w:t>
                      </w:r>
                    </w:p>
                  </w:txbxContent>
                </v:textbox>
              </v:shape>
            </w:pict>
          </mc:Fallback>
        </mc:AlternateContent>
      </w:r>
    </w:p>
    <w:p>
      <w:pPr>
        <w:spacing w:line="400" w:lineRule="exact"/>
        <w:ind w:firstLine="420"/>
        <w:rPr>
          <w:rFonts w:hint="eastAsia" w:ascii="仿宋_GB2312" w:hAnsi="仿宋" w:eastAsia="仿宋_GB2312"/>
          <w:sz w:val="28"/>
          <w:szCs w:val="28"/>
          <w:u w:val="single"/>
        </w:rPr>
      </w:pPr>
    </w:p>
    <w:p>
      <w:pPr>
        <w:spacing w:line="400" w:lineRule="exact"/>
        <w:ind w:firstLine="420"/>
        <w:rPr>
          <w:rFonts w:hint="eastAsia" w:ascii="仿宋_GB2312" w:hAnsi="仿宋" w:eastAsia="仿宋_GB2312"/>
          <w:sz w:val="28"/>
          <w:szCs w:val="28"/>
          <w:u w:val="single"/>
        </w:rPr>
      </w:pPr>
    </w:p>
    <w:p>
      <w:pPr>
        <w:spacing w:line="400" w:lineRule="exact"/>
        <w:rPr>
          <w:rFonts w:hint="eastAsia" w:ascii="仿宋_GB2312" w:eastAsia="仿宋_GB2312"/>
          <w:sz w:val="28"/>
          <w:szCs w:val="28"/>
        </w:rPr>
      </w:pPr>
    </w:p>
    <w:p>
      <w:pPr>
        <w:spacing w:line="400" w:lineRule="exact"/>
        <w:ind w:firstLine="562" w:firstLineChars="200"/>
        <w:rPr>
          <w:rFonts w:hint="eastAsia" w:ascii="仿宋_GB2312" w:hAnsi="宋体" w:eastAsia="仿宋_GB2312"/>
          <w:b/>
          <w:sz w:val="28"/>
          <w:szCs w:val="28"/>
        </w:rPr>
      </w:pPr>
    </w:p>
    <w:p>
      <w:pPr>
        <w:spacing w:line="400" w:lineRule="exact"/>
        <w:ind w:firstLine="562" w:firstLineChars="200"/>
        <w:rPr>
          <w:rFonts w:hint="eastAsia" w:ascii="仿宋_GB2312" w:hAnsi="宋体" w:eastAsia="仿宋_GB2312"/>
          <w:b/>
          <w:sz w:val="28"/>
          <w:szCs w:val="28"/>
        </w:rPr>
      </w:pPr>
    </w:p>
    <w:p>
      <w:pPr>
        <w:spacing w:line="320" w:lineRule="exact"/>
        <w:ind w:firstLine="560" w:firstLineChars="200"/>
        <w:rPr>
          <w:rFonts w:hint="eastAsia" w:ascii="仿宋_GB2312" w:hAnsi="宋体" w:eastAsia="仿宋_GB2312"/>
          <w:sz w:val="28"/>
          <w:szCs w:val="28"/>
        </w:rPr>
      </w:pPr>
    </w:p>
    <w:p>
      <w:pPr>
        <w:spacing w:line="320" w:lineRule="exact"/>
        <w:ind w:firstLine="560" w:firstLineChars="200"/>
        <w:rPr>
          <w:rFonts w:hint="eastAsia" w:ascii="仿宋_GB2312" w:hAnsi="宋体" w:eastAsia="仿宋_GB2312"/>
          <w:sz w:val="28"/>
          <w:szCs w:val="28"/>
        </w:rPr>
        <w:sectPr>
          <w:pgSz w:w="11906" w:h="16838"/>
          <w:pgMar w:top="1440" w:right="1800" w:bottom="1440" w:left="1800" w:header="851" w:footer="992" w:gutter="0"/>
          <w:cols w:space="720" w:num="1"/>
          <w:docGrid w:type="lines" w:linePitch="312" w:charSpace="0"/>
        </w:sectPr>
      </w:pPr>
    </w:p>
    <w:p>
      <w:pPr>
        <w:pStyle w:val="5"/>
        <w:spacing w:line="520" w:lineRule="exact"/>
        <w:ind w:firstLine="0" w:firstLineChars="0"/>
        <w:jc w:val="left"/>
        <w:outlineLvl w:val="0"/>
        <w:rPr>
          <w:rFonts w:hint="eastAsia" w:ascii="仿宋_GB2312" w:hAnsi="宋体" w:eastAsia="仿宋_GB2312"/>
          <w:sz w:val="24"/>
          <w:szCs w:val="28"/>
        </w:rPr>
      </w:pPr>
      <w:r>
        <w:rPr>
          <w:rFonts w:hint="eastAsia" w:ascii="仿宋_GB2312" w:hAnsi="宋体" w:eastAsia="仿宋_GB2312"/>
          <w:sz w:val="24"/>
          <w:szCs w:val="28"/>
        </w:rPr>
        <w:t>附录3</w:t>
      </w:r>
    </w:p>
    <w:p>
      <w:pPr>
        <w:pStyle w:val="5"/>
        <w:spacing w:line="520" w:lineRule="exact"/>
        <w:ind w:firstLine="0" w:firstLineChars="0"/>
        <w:jc w:val="center"/>
        <w:outlineLvl w:val="0"/>
        <w:rPr>
          <w:rFonts w:hint="eastAsia" w:ascii="黑体" w:hAnsi="黑体" w:eastAsia="黑体" w:cs="黑体"/>
          <w:b/>
          <w:bCs/>
          <w:sz w:val="28"/>
          <w:szCs w:val="32"/>
        </w:rPr>
      </w:pPr>
      <w:r>
        <w:rPr>
          <w:rFonts w:hint="eastAsia" w:ascii="黑体" w:hAnsi="黑体" w:eastAsia="黑体" w:cs="黑体"/>
          <w:b/>
          <w:bCs/>
          <w:sz w:val="32"/>
          <w:szCs w:val="32"/>
        </w:rPr>
        <w:t>谈判承诺函</w:t>
      </w:r>
    </w:p>
    <w:p>
      <w:pPr>
        <w:spacing w:line="440" w:lineRule="exact"/>
        <w:rPr>
          <w:rFonts w:hint="eastAsia" w:ascii="仿宋_GB2312" w:hAnsi="宋体" w:eastAsia="仿宋_GB2312"/>
          <w:sz w:val="24"/>
          <w:szCs w:val="28"/>
        </w:rPr>
      </w:pPr>
      <w:r>
        <w:rPr>
          <w:rFonts w:hint="eastAsia" w:ascii="仿宋_GB2312" w:hAnsi="宋体" w:eastAsia="仿宋_GB2312"/>
          <w:sz w:val="24"/>
          <w:szCs w:val="28"/>
        </w:rPr>
        <w:t>山东钢铁集团日照有限公司：</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 xml:space="preserve"> 我们已收到你们的关于</w:t>
      </w:r>
      <w:r>
        <w:rPr>
          <w:rFonts w:hint="eastAsia" w:ascii="仿宋_GB2312" w:hAnsi="宋体" w:eastAsia="仿宋_GB2312"/>
          <w:kern w:val="0"/>
          <w:sz w:val="24"/>
          <w:szCs w:val="28"/>
          <w:u w:val="single"/>
        </w:rPr>
        <w:t xml:space="preserve">                        </w:t>
      </w:r>
      <w:r>
        <w:rPr>
          <w:rFonts w:hint="eastAsia" w:ascii="仿宋_GB2312" w:hAnsi="宋体" w:eastAsia="仿宋_GB2312"/>
          <w:bCs/>
          <w:sz w:val="24"/>
          <w:szCs w:val="28"/>
        </w:rPr>
        <w:t>采购的</w:t>
      </w:r>
      <w:r>
        <w:rPr>
          <w:rFonts w:hint="eastAsia" w:ascii="仿宋_GB2312" w:hAnsi="宋体" w:eastAsia="仿宋_GB2312"/>
          <w:sz w:val="24"/>
          <w:szCs w:val="28"/>
        </w:rPr>
        <w:t>谈判文件，经仔细阅读研究，我们决定参加谈判，并作如下承诺：</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1．</w:t>
      </w:r>
      <w:r>
        <w:rPr>
          <w:rFonts w:hint="eastAsia" w:ascii="仿宋_GB2312" w:hAnsi="宋体" w:eastAsia="仿宋_GB2312"/>
          <w:spacing w:val="2"/>
          <w:sz w:val="24"/>
          <w:szCs w:val="28"/>
        </w:rPr>
        <w:t>愿意按照谈判文件的一切要求，提供谈判标的物的总价格为人民币（大</w:t>
      </w:r>
      <w:r>
        <w:rPr>
          <w:rFonts w:hint="eastAsia" w:ascii="仿宋_GB2312" w:hAnsi="宋体" w:eastAsia="仿宋_GB2312"/>
          <w:sz w:val="24"/>
          <w:szCs w:val="28"/>
        </w:rPr>
        <w:t>写）</w:t>
      </w:r>
      <w:r>
        <w:rPr>
          <w:rFonts w:hint="eastAsia" w:ascii="仿宋_GB2312" w:hAnsi="宋体" w:eastAsia="仿宋_GB2312"/>
          <w:sz w:val="24"/>
          <w:szCs w:val="28"/>
          <w:u w:val="single"/>
        </w:rPr>
        <w:t xml:space="preserve">                             ,</w:t>
      </w:r>
      <w:r>
        <w:rPr>
          <w:rFonts w:hint="eastAsia" w:ascii="仿宋_GB2312" w:hAnsi="宋体" w:eastAsia="仿宋_GB2312"/>
          <w:sz w:val="24"/>
          <w:szCs w:val="28"/>
        </w:rPr>
        <w:t>（小写）</w:t>
      </w:r>
      <w:r>
        <w:rPr>
          <w:rFonts w:hint="eastAsia" w:ascii="仿宋_GB2312" w:hAnsi="宋体" w:eastAsia="仿宋_GB2312"/>
          <w:sz w:val="24"/>
          <w:szCs w:val="28"/>
          <w:u w:val="single"/>
        </w:rPr>
        <w:t xml:space="preserve">           </w:t>
      </w:r>
      <w:r>
        <w:rPr>
          <w:rFonts w:hint="eastAsia" w:ascii="仿宋_GB2312" w:hAnsi="宋体" w:eastAsia="仿宋_GB2312"/>
          <w:sz w:val="24"/>
          <w:szCs w:val="28"/>
        </w:rPr>
        <w:t>元 , 明细见《谈判报价明细表》。</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2．如果我们的谈判响应文件被接受，我们将严格履行谈判文件中规定的每一项要求，按期、按质、按量履行义务。</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3．我们愿意提供在谈判文件中要求的所有资料。</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4．我们同意你们的确定成交供应商的方式，同时认为较低的报价和较高的优惠比例是成交的重要选择标准，但不是唯一的选择标准。</w:t>
      </w:r>
    </w:p>
    <w:p>
      <w:pPr>
        <w:spacing w:line="38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5．我们愿意遵守谈判文件中所列的收费标准，同时承担谈判文件中对成交人规定的各项责任。</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6．我们所作的针对该项目的谈判响应文件在谈判开始后的全过程中保持有效，对谈判小组所作的需求变更我单位将作出相应更改和变动。</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7. 我公司不存在经营异常行为及严重违法失信行为。我们承诺如在谈判有效期内及合同执行期间，发现我公司存在或曾经存在，经营异常行为或严重违法失信行为，愿接受贵公司作出的没收谈判响应保证金、终止合同等处罚。</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8．有关谈判事项的函电，请按下列方式联系：</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单位：                邮编：          电话：</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联系人：              地址：</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谈判响应供应商（盖章）：      法定代表人（签字）：</w:t>
      </w:r>
    </w:p>
    <w:p>
      <w:pPr>
        <w:spacing w:line="440" w:lineRule="exact"/>
        <w:ind w:firstLine="912" w:firstLineChars="380"/>
        <w:rPr>
          <w:rFonts w:hint="eastAsia" w:ascii="仿宋_GB2312" w:hAnsi="宋体" w:eastAsia="仿宋_GB2312"/>
          <w:sz w:val="24"/>
          <w:szCs w:val="28"/>
        </w:rPr>
      </w:pPr>
      <w:r>
        <w:rPr>
          <w:rFonts w:hint="eastAsia" w:ascii="仿宋_GB2312" w:hAnsi="宋体" w:eastAsia="仿宋_GB2312"/>
          <w:sz w:val="24"/>
          <w:szCs w:val="28"/>
        </w:rPr>
        <w:t xml:space="preserve">                    受托代理人（签字）：</w:t>
      </w:r>
    </w:p>
    <w:p>
      <w:pPr>
        <w:spacing w:line="440" w:lineRule="exact"/>
        <w:ind w:firstLine="432" w:firstLineChars="180"/>
        <w:rPr>
          <w:rFonts w:hint="eastAsia" w:ascii="仿宋_GB2312" w:hAnsi="宋体" w:eastAsia="仿宋_GB2312"/>
          <w:sz w:val="24"/>
          <w:szCs w:val="28"/>
        </w:rPr>
      </w:pPr>
      <w:r>
        <w:rPr>
          <w:rFonts w:hint="eastAsia" w:ascii="仿宋_GB2312" w:hAnsi="宋体" w:eastAsia="仿宋_GB2312"/>
          <w:sz w:val="24"/>
          <w:szCs w:val="28"/>
        </w:rPr>
        <w:t xml:space="preserve">                      　　　　　　年   月   日</w:t>
      </w:r>
    </w:p>
    <w:p>
      <w:pPr>
        <w:spacing w:line="560" w:lineRule="exact"/>
        <w:ind w:firstLine="562" w:firstLineChars="200"/>
        <w:rPr>
          <w:rFonts w:hint="eastAsia" w:ascii="仿宋_GB2312" w:hAnsi="宋体" w:eastAsia="仿宋_GB2312"/>
          <w:b/>
          <w:sz w:val="28"/>
          <w:szCs w:val="28"/>
        </w:rPr>
      </w:pPr>
    </w:p>
    <w:p>
      <w:pPr>
        <w:spacing w:line="560" w:lineRule="exact"/>
        <w:ind w:firstLine="600" w:firstLineChars="200"/>
        <w:rPr>
          <w:rFonts w:hint="eastAsia" w:ascii="仿宋_GB2312" w:hAnsi="仿宋" w:eastAsia="仿宋_GB2312"/>
          <w:sz w:val="30"/>
          <w:szCs w:val="30"/>
        </w:rPr>
        <w:sectPr>
          <w:footnotePr>
            <w:numFmt w:val="decimalEnclosedCircleChinese"/>
            <w:numRestart w:val="eachPage"/>
          </w:footnotePr>
          <w:pgSz w:w="11906" w:h="16838"/>
          <w:pgMar w:top="1701" w:right="1418" w:bottom="1418" w:left="1701" w:header="992" w:footer="851" w:gutter="0"/>
          <w:cols w:space="720" w:num="1"/>
          <w:titlePg/>
          <w:docGrid w:type="lines" w:linePitch="338" w:charSpace="1024"/>
        </w:sectPr>
      </w:pPr>
    </w:p>
    <w:p>
      <w:pPr>
        <w:spacing w:line="560" w:lineRule="exact"/>
        <w:rPr>
          <w:rFonts w:hint="eastAsia" w:ascii="仿宋_GB2312" w:hAnsi="宋体" w:eastAsia="仿宋_GB2312"/>
          <w:b/>
          <w:sz w:val="24"/>
        </w:rPr>
      </w:pPr>
      <w:r>
        <w:rPr>
          <w:rFonts w:hint="eastAsia" w:ascii="仿宋_GB2312" w:hAnsi="仿宋" w:eastAsia="仿宋_GB2312"/>
          <w:sz w:val="30"/>
          <w:szCs w:val="30"/>
        </w:rPr>
        <w:t xml:space="preserve"> </w:t>
      </w:r>
      <w:r>
        <w:rPr>
          <w:rFonts w:hint="eastAsia" w:ascii="仿宋_GB2312" w:hAnsi="宋体" w:eastAsia="仿宋_GB2312"/>
          <w:bCs/>
          <w:sz w:val="24"/>
        </w:rPr>
        <w:t>附录4</w:t>
      </w:r>
    </w:p>
    <w:p>
      <w:pPr>
        <w:spacing w:line="560" w:lineRule="exact"/>
        <w:ind w:firstLine="643" w:firstLineChars="200"/>
        <w:jc w:val="center"/>
        <w:outlineLvl w:val="0"/>
        <w:rPr>
          <w:rFonts w:hint="eastAsia" w:ascii="黑体" w:hAnsi="黑体" w:eastAsia="黑体" w:cs="黑体"/>
          <w:b/>
          <w:bCs/>
          <w:color w:val="FF0000"/>
          <w:sz w:val="32"/>
          <w:szCs w:val="32"/>
        </w:rPr>
      </w:pPr>
      <w:r>
        <w:rPr>
          <w:rFonts w:hint="eastAsia" w:ascii="黑体" w:hAnsi="黑体" w:eastAsia="黑体" w:cs="黑体"/>
          <w:b/>
          <w:bCs/>
          <w:sz w:val="32"/>
          <w:szCs w:val="32"/>
        </w:rPr>
        <w:t>谈判报价明细表</w:t>
      </w:r>
    </w:p>
    <w:p>
      <w:pPr>
        <w:widowControl/>
        <w:spacing w:line="360" w:lineRule="auto"/>
        <w:jc w:val="left"/>
        <w:rPr>
          <w:rFonts w:hint="eastAsia" w:ascii="仿宋_GB2312" w:hAnsi="宋体" w:eastAsia="仿宋_GB2312" w:cs="Arial"/>
          <w:color w:val="000000"/>
          <w:kern w:val="0"/>
          <w:sz w:val="28"/>
          <w:szCs w:val="28"/>
        </w:rPr>
      </w:pPr>
      <w:r>
        <w:rPr>
          <w:rFonts w:hint="eastAsia" w:ascii="仿宋_GB2312" w:hAnsi="宋体" w:eastAsia="仿宋_GB2312" w:cs="宋体"/>
          <w:b/>
          <w:bCs/>
          <w:color w:val="000000"/>
          <w:kern w:val="0"/>
          <w:sz w:val="28"/>
          <w:szCs w:val="28"/>
        </w:rPr>
        <w:t xml:space="preserve">谈判项目： </w:t>
      </w:r>
      <w:r>
        <w:rPr>
          <w:rFonts w:hint="eastAsia" w:ascii="仿宋_GB2312" w:hAnsi="宋体" w:eastAsia="仿宋_GB2312" w:cs="宋体"/>
          <w:b/>
          <w:bCs/>
          <w:color w:val="000000"/>
          <w:kern w:val="0"/>
          <w:sz w:val="28"/>
          <w:szCs w:val="28"/>
          <w:u w:val="none"/>
        </w:rPr>
        <w:t>山钢日照信息化</w:t>
      </w:r>
      <w:r>
        <w:rPr>
          <w:rFonts w:hint="eastAsia" w:ascii="仿宋_GB2312" w:hAnsi="宋体" w:eastAsia="仿宋_GB2312" w:cs="宋体"/>
          <w:b/>
          <w:bCs/>
          <w:i w:val="0"/>
          <w:iCs w:val="0"/>
          <w:color w:val="000000"/>
          <w:spacing w:val="0"/>
          <w:w w:val="100"/>
          <w:kern w:val="0"/>
          <w:sz w:val="28"/>
          <w:szCs w:val="28"/>
          <w:u w:val="none"/>
          <w:vertAlign w:val="baseline"/>
          <w:lang w:val="en-US" w:eastAsia="zh-CN"/>
        </w:rPr>
        <w:t>日照基地信息化2025年云服务</w:t>
      </w:r>
    </w:p>
    <w:tbl>
      <w:tblPr>
        <w:tblStyle w:val="17"/>
        <w:tblW w:w="45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0"/>
        <w:gridCol w:w="2594"/>
        <w:gridCol w:w="1469"/>
        <w:gridCol w:w="1439"/>
        <w:gridCol w:w="1389"/>
        <w:gridCol w:w="1289"/>
        <w:gridCol w:w="2267"/>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序号</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系统名称</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环境类型</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服务类型</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服务规格</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服务等级</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000000"/>
                <w:spacing w:val="0"/>
                <w:w w:val="100"/>
                <w:sz w:val="18"/>
                <w:szCs w:val="18"/>
                <w:vertAlign w:val="baseline"/>
                <w:lang w:val="en-US" w:eastAsia="zh-CN"/>
              </w:rPr>
            </w:pPr>
            <w:r>
              <w:rPr>
                <w:rFonts w:hint="eastAsia" w:ascii="仿宋" w:hAnsi="仿宋" w:eastAsia="仿宋" w:cs="仿宋"/>
                <w:b/>
                <w:bCs/>
                <w:i w:val="0"/>
                <w:iCs w:val="0"/>
                <w:color w:val="000000"/>
                <w:spacing w:val="0"/>
                <w:w w:val="100"/>
                <w:sz w:val="18"/>
                <w:szCs w:val="18"/>
                <w:vertAlign w:val="baseline"/>
                <w:lang w:val="en-US" w:eastAsia="zh-CN"/>
              </w:rPr>
              <w:t>金额（万元/年）（不含税）</w:t>
            </w: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bCs/>
                <w:i w:val="0"/>
                <w:iCs w:val="0"/>
                <w:color w:val="000000"/>
                <w:spacing w:val="0"/>
                <w:w w:val="100"/>
                <w:sz w:val="18"/>
                <w:szCs w:val="18"/>
                <w:vertAlign w:val="baseline"/>
              </w:rPr>
              <w:t>移植类系统云服务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制造管理核心分区（运行环境）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中</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铁区管理分区（运行环境）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1.3</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钢轧作业分区（运行环境）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1.4</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冷轧作业分区（运行环境）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1.5</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运输作业分区（运行环境）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1.6</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资源综合利用（运行环境）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1.7</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MES框架授权分区（运行环境）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1.8</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企业服务总线（运行环境）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1.9</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检化验（运行环境）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1.10</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属地专业分析（运行环境）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管控中心（运行环境）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ePlat平台（运行环境）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1.13</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炼钢统一接口平台（运行环境）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1.14</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铁区统一接口平台（运行环境）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1.15</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园区系统（运行环境）</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超小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1.16</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测试及预发云服务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1.17</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云基础安全服务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1.18</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安全态势感知监测服务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1.19</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机柜反租</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bCs/>
                <w:i w:val="0"/>
                <w:iCs w:val="0"/>
                <w:color w:val="000000"/>
                <w:spacing w:val="0"/>
                <w:w w:val="100"/>
                <w:sz w:val="18"/>
                <w:szCs w:val="18"/>
                <w:vertAlign w:val="baseline"/>
              </w:rPr>
              <w:t>协同办公OA、人力资源BWHR服务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2.1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协同办公OA</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SAAS</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2.2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人力资源BWHR服务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SAAS</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3</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bCs/>
                <w:i w:val="0"/>
                <w:iCs w:val="0"/>
                <w:color w:val="000000"/>
                <w:spacing w:val="0"/>
                <w:w w:val="100"/>
                <w:sz w:val="18"/>
                <w:szCs w:val="18"/>
                <w:vertAlign w:val="baseline"/>
              </w:rPr>
              <w:t>覆盖类系统云服务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宝钢股份标准财务系统BFMS</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宝钢股份工程项目管理系统BPMS</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银</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3.3</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宝钢股份营销核心业务系统IMC</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3.4</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原料采购物流管控PLMS</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银</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3.5</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智慧经营决策支持系统i-CE</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银</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3.6</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制造集控（备份存储扩容）</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3.7</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制造集控（数据库服务器存储扩充）</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运行环境</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PAAS(OLTP)</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小</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金</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4</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bCs/>
                <w:i w:val="0"/>
                <w:iCs w:val="0"/>
                <w:color w:val="000000"/>
                <w:spacing w:val="0"/>
                <w:w w:val="100"/>
                <w:sz w:val="18"/>
                <w:szCs w:val="18"/>
                <w:vertAlign w:val="baseline"/>
              </w:rPr>
              <w:t>网络安全服务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000000"/>
                <w:spacing w:val="0"/>
                <w:w w:val="100"/>
                <w:sz w:val="18"/>
                <w:szCs w:val="18"/>
                <w:vertAlign w:val="baseline"/>
              </w:rPr>
            </w:pPr>
          </w:p>
        </w:tc>
        <w:tc>
          <w:tcPr>
            <w:tcW w:w="566"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4.1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数据安全服务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4.2</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系统安全合规检查服务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c>
          <w:tcPr>
            <w:tcW w:w="566" w:type="pct"/>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5</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bCs/>
                <w:i w:val="0"/>
                <w:iCs w:val="0"/>
                <w:color w:val="000000"/>
                <w:spacing w:val="0"/>
                <w:w w:val="100"/>
                <w:sz w:val="18"/>
                <w:szCs w:val="18"/>
                <w:vertAlign w:val="baseline"/>
              </w:rPr>
              <w:t>工业互联网平台</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bCs/>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rPr>
                <w:rFonts w:hint="eastAsia" w:ascii="仿宋" w:hAnsi="仿宋" w:eastAsia="仿宋" w:cs="仿宋"/>
                <w:b/>
                <w:bCs/>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both"/>
            </w:pPr>
            <w:r>
              <w:rPr>
                <w:rFonts w:hint="eastAsia" w:ascii="仿宋" w:hAnsi="仿宋" w:eastAsia="仿宋" w:cs="仿宋"/>
                <w:b/>
                <w:bCs/>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5.1</w:t>
            </w:r>
          </w:p>
        </w:tc>
        <w:tc>
          <w:tcPr>
            <w:tcW w:w="1025"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left"/>
            </w:pPr>
            <w:r>
              <w:rPr>
                <w:rFonts w:hint="eastAsia" w:ascii="仿宋" w:hAnsi="仿宋" w:eastAsia="仿宋" w:cs="仿宋"/>
                <w:b w:val="0"/>
                <w:bCs w:val="0"/>
                <w:i w:val="0"/>
                <w:iCs w:val="0"/>
                <w:color w:val="000000"/>
                <w:spacing w:val="0"/>
                <w:w w:val="100"/>
                <w:sz w:val="18"/>
                <w:szCs w:val="18"/>
                <w:vertAlign w:val="baseline"/>
              </w:rPr>
              <w:t>宝联登工业互联网平台服务</w:t>
            </w:r>
          </w:p>
        </w:tc>
        <w:tc>
          <w:tcPr>
            <w:tcW w:w="580"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68"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4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509"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pPr>
            <w:r>
              <w:rPr>
                <w:rFonts w:hint="eastAsia" w:ascii="仿宋" w:hAnsi="仿宋" w:eastAsia="仿宋" w:cs="仿宋"/>
                <w:b w:val="0"/>
                <w:bCs w:val="0"/>
                <w:i w:val="0"/>
                <w:iCs w:val="0"/>
                <w:color w:val="000000"/>
                <w:spacing w:val="0"/>
                <w:w w:val="100"/>
                <w:sz w:val="18"/>
                <w:szCs w:val="18"/>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r>
              <w:rPr>
                <w:rFonts w:hint="eastAsia" w:ascii="仿宋_GB2312" w:hAnsi="宋体" w:eastAsia="仿宋_GB2312" w:cs="宋体"/>
                <w:sz w:val="24"/>
                <w:szCs w:val="28"/>
              </w:rPr>
              <w:t>合计</w:t>
            </w:r>
          </w:p>
        </w:tc>
        <w:tc>
          <w:tcPr>
            <w:tcW w:w="3233" w:type="pct"/>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default" w:ascii="仿宋" w:hAnsi="仿宋" w:eastAsia="仿宋" w:cs="仿宋"/>
                <w:b w:val="0"/>
                <w:bCs w:val="0"/>
                <w:i w:val="0"/>
                <w:iCs w:val="0"/>
                <w:color w:val="000000"/>
                <w:spacing w:val="0"/>
                <w:w w:val="100"/>
                <w:sz w:val="18"/>
                <w:szCs w:val="18"/>
                <w:vertAlign w:val="baseline"/>
                <w:lang w:val="en-US" w:eastAsia="zh-CN"/>
              </w:rPr>
            </w:pPr>
            <w:r>
              <w:rPr>
                <w:rFonts w:hint="eastAsia" w:ascii="仿宋" w:hAnsi="仿宋" w:eastAsia="仿宋" w:cs="仿宋"/>
                <w:b w:val="0"/>
                <w:bCs w:val="0"/>
                <w:i w:val="0"/>
                <w:iCs w:val="0"/>
                <w:color w:val="000000"/>
                <w:spacing w:val="0"/>
                <w:w w:val="100"/>
                <w:sz w:val="18"/>
                <w:szCs w:val="18"/>
                <w:vertAlign w:val="baseline"/>
                <w:lang w:val="en-US" w:eastAsia="zh-CN"/>
              </w:rPr>
              <w:t>金额（不含税）</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04"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_GB2312" w:hAnsi="宋体" w:eastAsia="仿宋_GB2312" w:cs="宋体"/>
                <w:sz w:val="24"/>
                <w:szCs w:val="28"/>
              </w:rPr>
            </w:pPr>
          </w:p>
        </w:tc>
        <w:tc>
          <w:tcPr>
            <w:tcW w:w="3233" w:type="pct"/>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lang w:val="en-US" w:eastAsia="zh-CN"/>
              </w:rPr>
            </w:pPr>
            <w:r>
              <w:rPr>
                <w:rFonts w:hint="eastAsia" w:ascii="仿宋" w:hAnsi="仿宋" w:eastAsia="仿宋" w:cs="仿宋"/>
                <w:b w:val="0"/>
                <w:bCs w:val="0"/>
                <w:i w:val="0"/>
                <w:iCs w:val="0"/>
                <w:color w:val="000000"/>
                <w:spacing w:val="0"/>
                <w:w w:val="100"/>
                <w:sz w:val="18"/>
                <w:szCs w:val="18"/>
                <w:vertAlign w:val="baseline"/>
                <w:lang w:val="en-US" w:eastAsia="zh-CN"/>
              </w:rPr>
              <w:t>金额（含税6%）</w:t>
            </w:r>
          </w:p>
        </w:tc>
        <w:tc>
          <w:tcPr>
            <w:tcW w:w="89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c>
          <w:tcPr>
            <w:tcW w:w="56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4"/>
              <w:keepNext w:val="0"/>
              <w:keepLines w:val="0"/>
              <w:widowControl/>
              <w:suppressLineNumbers w:val="0"/>
              <w:spacing w:before="0" w:beforeAutospacing="0" w:after="0" w:afterAutospacing="0"/>
              <w:ind w:left="0" w:right="0"/>
              <w:jc w:val="center"/>
              <w:rPr>
                <w:rFonts w:hint="eastAsia" w:ascii="仿宋" w:hAnsi="仿宋" w:eastAsia="仿宋" w:cs="仿宋"/>
                <w:b w:val="0"/>
                <w:bCs w:val="0"/>
                <w:i w:val="0"/>
                <w:iCs w:val="0"/>
                <w:color w:val="000000"/>
                <w:spacing w:val="0"/>
                <w:w w:val="100"/>
                <w:sz w:val="18"/>
                <w:szCs w:val="18"/>
                <w:vertAlign w:val="baseline"/>
              </w:rPr>
            </w:pPr>
          </w:p>
        </w:tc>
      </w:tr>
    </w:tbl>
    <w:p>
      <w:pPr>
        <w:spacing w:line="560" w:lineRule="exact"/>
        <w:jc w:val="left"/>
        <w:rPr>
          <w:rFonts w:hint="eastAsia"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 xml:space="preserve"> </w:t>
      </w:r>
      <w:r>
        <w:rPr>
          <w:rFonts w:hint="eastAsia" w:ascii="仿宋_GB2312" w:hAnsi="仿宋" w:eastAsia="仿宋_GB2312"/>
          <w:sz w:val="28"/>
          <w:szCs w:val="28"/>
        </w:rPr>
        <w:t>备注:</w:t>
      </w:r>
    </w:p>
    <w:p>
      <w:pPr>
        <w:spacing w:line="560" w:lineRule="exact"/>
        <w:ind w:left="851"/>
        <w:jc w:val="left"/>
        <w:rPr>
          <w:rFonts w:hint="default" w:ascii="仿宋_GB2312" w:hAnsi="仿宋" w:eastAsia="仿宋_GB2312"/>
          <w:sz w:val="28"/>
          <w:szCs w:val="28"/>
        </w:rPr>
      </w:pPr>
      <w:r>
        <w:rPr>
          <w:rFonts w:hint="eastAsia" w:ascii="仿宋_GB2312" w:hAnsi="仿宋" w:eastAsia="仿宋_GB2312"/>
          <w:sz w:val="28"/>
          <w:szCs w:val="28"/>
        </w:rPr>
        <w:t>报价为人民币（元），</w:t>
      </w:r>
      <w:r>
        <w:rPr>
          <w:rFonts w:hint="default" w:ascii="仿宋_GB2312" w:hAnsi="仿宋" w:eastAsia="仿宋_GB2312"/>
          <w:sz w:val="28"/>
          <w:szCs w:val="28"/>
        </w:rPr>
        <w:t>含全额增值税</w:t>
      </w:r>
      <w:r>
        <w:rPr>
          <w:rFonts w:hint="eastAsia" w:ascii="仿宋_GB2312" w:hAnsi="仿宋" w:eastAsia="仿宋_GB2312"/>
          <w:sz w:val="28"/>
          <w:szCs w:val="28"/>
        </w:rPr>
        <w:t>（</w:t>
      </w:r>
      <w:r>
        <w:rPr>
          <w:rFonts w:hint="default" w:ascii="仿宋_GB2312" w:hAnsi="仿宋" w:eastAsia="仿宋_GB2312"/>
          <w:sz w:val="28"/>
          <w:szCs w:val="28"/>
          <w:lang w:val="en-US" w:eastAsia="zh-CN"/>
        </w:rPr>
        <w:t>6%</w:t>
      </w:r>
      <w:r>
        <w:rPr>
          <w:rFonts w:hint="eastAsia" w:ascii="仿宋_GB2312" w:hAnsi="仿宋" w:eastAsia="仿宋_GB2312"/>
          <w:sz w:val="28"/>
          <w:szCs w:val="28"/>
        </w:rPr>
        <w:t>）。报价包含但</w:t>
      </w:r>
      <w:r>
        <w:rPr>
          <w:rFonts w:ascii="仿宋_GB2312" w:hAnsi="仿宋" w:eastAsia="仿宋_GB2312"/>
          <w:sz w:val="28"/>
          <w:szCs w:val="28"/>
        </w:rPr>
        <w:t>不限于</w:t>
      </w:r>
      <w:r>
        <w:rPr>
          <w:rFonts w:hint="default" w:ascii="仿宋_GB2312" w:hAnsi="仿宋" w:eastAsia="仿宋_GB2312"/>
          <w:sz w:val="28"/>
          <w:szCs w:val="28"/>
          <w:u w:val="none"/>
          <w:lang w:val="en-US" w:eastAsia="zh-CN"/>
        </w:rPr>
        <w:t>服务费、培训费</w:t>
      </w:r>
      <w:r>
        <w:rPr>
          <w:rFonts w:hint="eastAsia" w:ascii="仿宋_GB2312" w:hAnsi="仿宋" w:eastAsia="仿宋_GB2312"/>
          <w:sz w:val="28"/>
          <w:szCs w:val="28"/>
        </w:rPr>
        <w:t>等全部费用</w:t>
      </w:r>
      <w:r>
        <w:rPr>
          <w:rFonts w:hint="default" w:ascii="仿宋_GB2312" w:hAnsi="仿宋" w:eastAsia="仿宋_GB2312"/>
          <w:sz w:val="28"/>
          <w:szCs w:val="28"/>
        </w:rPr>
        <w:t>。</w:t>
      </w:r>
    </w:p>
    <w:p>
      <w:pPr>
        <w:spacing w:line="560" w:lineRule="exact"/>
        <w:ind w:firstLine="3640" w:firstLineChars="130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谈判响应供应商（盖章）：</w:t>
      </w:r>
    </w:p>
    <w:p>
      <w:pPr>
        <w:spacing w:line="560" w:lineRule="exact"/>
        <w:ind w:firstLine="3640" w:firstLineChars="130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法定代表人或受托代理人（签字）：</w:t>
      </w:r>
    </w:p>
    <w:p>
      <w:pPr>
        <w:spacing w:line="560" w:lineRule="exact"/>
        <w:ind w:right="560" w:firstLine="8120" w:firstLineChars="2900"/>
        <w:rPr>
          <w:rFonts w:hint="eastAsia" w:ascii="仿宋_GB2312" w:hAnsi="宋体" w:eastAsia="仿宋_GB2312"/>
          <w:color w:val="000000"/>
          <w:sz w:val="28"/>
          <w:szCs w:val="28"/>
        </w:rPr>
        <w:sectPr>
          <w:footnotePr>
            <w:numFmt w:val="decimalEnclosedCircleChinese"/>
            <w:numRestart w:val="eachPage"/>
          </w:footnotePr>
          <w:pgSz w:w="16838" w:h="11906" w:orient="landscape"/>
          <w:pgMar w:top="1701" w:right="1701" w:bottom="1417" w:left="1417" w:header="992" w:footer="850" w:gutter="0"/>
          <w:cols w:space="720" w:num="1"/>
          <w:titlePg/>
          <w:docGrid w:type="lines" w:linePitch="351" w:charSpace="0"/>
        </w:sectPr>
      </w:pPr>
      <w:r>
        <w:rPr>
          <w:rFonts w:hint="eastAsia" w:ascii="仿宋_GB2312" w:hAnsi="宋体" w:eastAsia="仿宋_GB2312"/>
          <w:color w:val="000000"/>
          <w:sz w:val="28"/>
          <w:szCs w:val="28"/>
        </w:rPr>
        <w:t>年   月   日</w:t>
      </w:r>
    </w:p>
    <w:p>
      <w:pPr>
        <w:spacing w:line="560" w:lineRule="exact"/>
        <w:outlineLvl w:val="0"/>
        <w:rPr>
          <w:rFonts w:hint="eastAsia" w:ascii="仿宋_GB2312" w:hAnsi="宋体" w:eastAsia="仿宋_GB2312"/>
          <w:bCs/>
          <w:sz w:val="24"/>
        </w:rPr>
      </w:pPr>
      <w:r>
        <w:rPr>
          <w:rFonts w:hint="eastAsia" w:ascii="仿宋_GB2312" w:hAnsi="宋体" w:eastAsia="仿宋_GB2312"/>
          <w:bCs/>
          <w:sz w:val="24"/>
        </w:rPr>
        <w:t>附录5</w:t>
      </w:r>
    </w:p>
    <w:p>
      <w:pPr>
        <w:spacing w:line="560" w:lineRule="exact"/>
        <w:jc w:val="center"/>
        <w:outlineLvl w:val="0"/>
        <w:rPr>
          <w:rFonts w:hint="eastAsia" w:ascii="黑体" w:hAnsi="黑体" w:eastAsia="黑体" w:cs="黑体"/>
          <w:b/>
          <w:bCs/>
          <w:sz w:val="28"/>
          <w:szCs w:val="32"/>
        </w:rPr>
      </w:pPr>
      <w:r>
        <w:rPr>
          <w:rFonts w:hint="eastAsia" w:ascii="黑体" w:hAnsi="黑体" w:eastAsia="黑体" w:cs="黑体"/>
          <w:b/>
          <w:bCs/>
          <w:sz w:val="32"/>
          <w:szCs w:val="32"/>
        </w:rPr>
        <w:t>技术规格偏离表</w:t>
      </w:r>
    </w:p>
    <w:p>
      <w:pPr>
        <w:spacing w:line="560" w:lineRule="exact"/>
        <w:jc w:val="center"/>
        <w:rPr>
          <w:rFonts w:hint="eastAsia" w:ascii="仿宋_GB2312" w:hAnsi="宋体" w:eastAsia="仿宋_GB2312"/>
          <w:b/>
          <w:bCs/>
          <w:color w:val="000000"/>
          <w:sz w:val="28"/>
          <w:szCs w:val="28"/>
        </w:rPr>
      </w:pPr>
    </w:p>
    <w:tbl>
      <w:tblPr>
        <w:tblStyle w:val="17"/>
        <w:tblW w:w="9192"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434"/>
        <w:gridCol w:w="2306"/>
        <w:gridCol w:w="2468"/>
        <w:gridCol w:w="1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8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序号</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页数</w:t>
            </w:r>
          </w:p>
        </w:tc>
        <w:tc>
          <w:tcPr>
            <w:tcW w:w="230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谈判文件规格</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谈判响应文件规格</w:t>
            </w: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26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30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6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72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bl>
    <w:p>
      <w:pPr>
        <w:spacing w:line="56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注：此表可依此格式复制。</w:t>
      </w:r>
    </w:p>
    <w:p>
      <w:pPr>
        <w:spacing w:line="560" w:lineRule="exact"/>
        <w:ind w:firstLine="3640" w:firstLineChars="13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谈判响应供应商（盖章）：        </w:t>
      </w:r>
    </w:p>
    <w:p>
      <w:pPr>
        <w:spacing w:line="560" w:lineRule="exact"/>
        <w:ind w:firstLine="3640" w:firstLineChars="13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法定代表人或受托代理人（签字）：</w:t>
      </w:r>
    </w:p>
    <w:p>
      <w:pPr>
        <w:spacing w:line="560" w:lineRule="exact"/>
        <w:ind w:firstLine="4480" w:firstLineChars="16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年   月   日</w:t>
      </w:r>
    </w:p>
    <w:p>
      <w:pPr>
        <w:spacing w:line="560" w:lineRule="exact"/>
        <w:ind w:firstLine="3640" w:firstLineChars="1300"/>
        <w:jc w:val="left"/>
        <w:rPr>
          <w:rFonts w:hint="eastAsia" w:ascii="仿宋_GB2312" w:hAnsi="宋体" w:eastAsia="仿宋_GB2312"/>
          <w:color w:val="000000"/>
          <w:sz w:val="28"/>
          <w:szCs w:val="28"/>
        </w:rPr>
      </w:pPr>
    </w:p>
    <w:p>
      <w:pPr>
        <w:spacing w:line="560" w:lineRule="exact"/>
        <w:outlineLvl w:val="0"/>
        <w:rPr>
          <w:rFonts w:hint="eastAsia" w:ascii="仿宋_GB2312" w:hAnsi="宋体" w:eastAsia="仿宋_GB2312"/>
          <w:bCs/>
          <w:color w:val="000000"/>
          <w:sz w:val="24"/>
        </w:rPr>
      </w:pPr>
      <w:r>
        <w:rPr>
          <w:rFonts w:hint="eastAsia" w:ascii="仿宋_GB2312" w:hAnsi="宋体" w:eastAsia="仿宋_GB2312"/>
          <w:color w:val="000000"/>
          <w:sz w:val="28"/>
          <w:szCs w:val="28"/>
        </w:rPr>
        <w:br w:type="page"/>
      </w:r>
      <w:r>
        <w:rPr>
          <w:rFonts w:hint="eastAsia" w:ascii="仿宋_GB2312" w:hAnsi="宋体" w:eastAsia="仿宋_GB2312"/>
          <w:bCs/>
          <w:color w:val="000000"/>
          <w:sz w:val="24"/>
        </w:rPr>
        <w:t>附录6</w:t>
      </w:r>
    </w:p>
    <w:p>
      <w:pPr>
        <w:spacing w:line="560" w:lineRule="exact"/>
        <w:jc w:val="center"/>
        <w:outlineLvl w:val="0"/>
        <w:rPr>
          <w:rFonts w:hint="eastAsia" w:ascii="黑体" w:hAnsi="黑体" w:eastAsia="黑体" w:cs="黑体"/>
          <w:b/>
          <w:bCs/>
          <w:sz w:val="28"/>
          <w:szCs w:val="32"/>
        </w:rPr>
      </w:pPr>
      <w:r>
        <w:rPr>
          <w:rFonts w:hint="eastAsia" w:ascii="黑体" w:hAnsi="黑体" w:eastAsia="黑体" w:cs="黑体"/>
          <w:b/>
          <w:bCs/>
          <w:sz w:val="32"/>
          <w:szCs w:val="32"/>
        </w:rPr>
        <w:t>商务条款偏离表</w:t>
      </w:r>
    </w:p>
    <w:p>
      <w:pPr>
        <w:spacing w:line="560" w:lineRule="exact"/>
        <w:jc w:val="center"/>
        <w:rPr>
          <w:rFonts w:hint="eastAsia" w:ascii="仿宋_GB2312" w:hAnsi="宋体" w:eastAsia="仿宋_GB2312"/>
          <w:b/>
          <w:bCs/>
          <w:color w:val="000000"/>
          <w:sz w:val="28"/>
          <w:szCs w:val="28"/>
        </w:rPr>
      </w:pPr>
    </w:p>
    <w:tbl>
      <w:tblPr>
        <w:tblStyle w:val="17"/>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366"/>
        <w:gridCol w:w="2012"/>
        <w:gridCol w:w="2630"/>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left="80"/>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序号</w:t>
            </w:r>
          </w:p>
        </w:tc>
        <w:tc>
          <w:tcPr>
            <w:tcW w:w="1366"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项目名称</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谈判文件要求</w:t>
            </w:r>
          </w:p>
        </w:tc>
        <w:tc>
          <w:tcPr>
            <w:tcW w:w="263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谈判响应文件响应</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1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136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01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6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eastAsia" w:ascii="仿宋_GB2312" w:hAnsi="宋体" w:eastAsia="仿宋_GB2312"/>
                <w:color w:val="000000"/>
                <w:sz w:val="28"/>
                <w:szCs w:val="28"/>
              </w:rPr>
            </w:pPr>
          </w:p>
        </w:tc>
      </w:tr>
    </w:tbl>
    <w:p>
      <w:pPr>
        <w:spacing w:line="560" w:lineRule="exact"/>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注：此表可依此格式复制。</w:t>
      </w:r>
    </w:p>
    <w:p>
      <w:pPr>
        <w:spacing w:line="560" w:lineRule="exact"/>
        <w:ind w:firstLine="3640" w:firstLineChars="13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谈判响应供应商（盖章）：        </w:t>
      </w:r>
    </w:p>
    <w:p>
      <w:pPr>
        <w:spacing w:line="560" w:lineRule="exact"/>
        <w:ind w:firstLine="3640" w:firstLineChars="13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法定代表人或受托代理人（签字）：</w:t>
      </w:r>
    </w:p>
    <w:p>
      <w:pPr>
        <w:spacing w:line="560" w:lineRule="exact"/>
        <w:ind w:firstLine="4900" w:firstLineChars="175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年   月   日</w:t>
      </w:r>
    </w:p>
    <w:p>
      <w:pPr>
        <w:spacing w:line="560" w:lineRule="exact"/>
        <w:ind w:firstLine="4900" w:firstLineChars="1750"/>
        <w:jc w:val="left"/>
        <w:rPr>
          <w:rFonts w:hint="eastAsia" w:ascii="仿宋_GB2312" w:hAnsi="宋体" w:eastAsia="仿宋_GB2312"/>
          <w:color w:val="000000"/>
          <w:sz w:val="28"/>
          <w:szCs w:val="28"/>
        </w:rPr>
      </w:pPr>
    </w:p>
    <w:p>
      <w:pPr>
        <w:spacing w:line="560" w:lineRule="exact"/>
        <w:ind w:firstLine="4900" w:firstLineChars="1750"/>
        <w:jc w:val="left"/>
        <w:rPr>
          <w:rFonts w:hint="eastAsia" w:ascii="仿宋_GB2312" w:hAnsi="宋体" w:eastAsia="仿宋_GB2312"/>
          <w:color w:val="000000"/>
          <w:sz w:val="28"/>
          <w:szCs w:val="28"/>
        </w:rPr>
      </w:pPr>
    </w:p>
    <w:p>
      <w:pPr>
        <w:pStyle w:val="15"/>
        <w:rPr>
          <w:rFonts w:ascii="黑体" w:hAnsi="黑体" w:eastAsia="黑体"/>
          <w:b w:val="0"/>
        </w:rPr>
      </w:pPr>
    </w:p>
    <w:bookmarkEnd w:id="6"/>
    <w:bookmarkEnd w:id="7"/>
    <w:bookmarkEnd w:id="8"/>
    <w:bookmarkEnd w:id="9"/>
    <w:p>
      <w:pPr>
        <w:spacing w:line="560" w:lineRule="exact"/>
        <w:ind w:firstLine="4900" w:firstLineChars="1750"/>
        <w:jc w:val="left"/>
        <w:rPr>
          <w:rFonts w:hint="eastAsia" w:ascii="仿宋_GB2312" w:hAnsi="宋体" w:eastAsia="仿宋_GB2312"/>
          <w:color w:val="000000"/>
          <w:sz w:val="28"/>
          <w:szCs w:val="28"/>
        </w:rPr>
      </w:pPr>
    </w:p>
    <w:p>
      <w:pPr>
        <w:spacing w:line="560" w:lineRule="exact"/>
        <w:ind w:firstLine="4900" w:firstLineChars="1750"/>
        <w:jc w:val="left"/>
        <w:rPr>
          <w:rFonts w:hint="eastAsia" w:ascii="仿宋_GB2312" w:hAnsi="宋体" w:eastAsia="仿宋_GB2312"/>
          <w:color w:val="000000"/>
          <w:sz w:val="28"/>
          <w:szCs w:val="28"/>
        </w:rPr>
      </w:pPr>
    </w:p>
    <w:p>
      <w:pPr>
        <w:spacing w:line="560" w:lineRule="exact"/>
        <w:rPr>
          <w:rFonts w:ascii="仿宋_GB2312" w:eastAsia="仿宋_GB2312"/>
          <w:b/>
          <w:sz w:val="28"/>
          <w:szCs w:val="28"/>
        </w:rPr>
      </w:pPr>
      <w:r>
        <w:rPr>
          <w:rFonts w:hint="eastAsia" w:ascii="仿宋_GB2312" w:eastAsia="仿宋_GB2312"/>
          <w:b/>
          <w:sz w:val="28"/>
          <w:szCs w:val="28"/>
        </w:rPr>
        <w:t>附录7</w:t>
      </w:r>
    </w:p>
    <w:p>
      <w:pPr>
        <w:spacing w:before="175" w:beforeLines="50" w:after="175" w:afterLines="50" w:line="480" w:lineRule="auto"/>
        <w:jc w:val="center"/>
        <w:rPr>
          <w:rFonts w:hint="eastAsia" w:ascii="黑体" w:hAnsi="黑体" w:eastAsia="黑体"/>
          <w:b/>
          <w:sz w:val="30"/>
          <w:szCs w:val="30"/>
        </w:rPr>
      </w:pPr>
      <w:r>
        <w:rPr>
          <w:rFonts w:hint="eastAsia" w:ascii="黑体" w:hAnsi="黑体" w:eastAsia="黑体"/>
          <w:b/>
          <w:sz w:val="30"/>
          <w:szCs w:val="30"/>
        </w:rPr>
        <w:t>供应商信息表</w:t>
      </w:r>
    </w:p>
    <w:tbl>
      <w:tblPr>
        <w:tblStyle w:val="17"/>
        <w:tblW w:w="8613" w:type="dxa"/>
        <w:tblInd w:w="135" w:type="dxa"/>
        <w:tblLayout w:type="fixed"/>
        <w:tblCellMar>
          <w:top w:w="0" w:type="dxa"/>
          <w:left w:w="108" w:type="dxa"/>
          <w:bottom w:w="0" w:type="dxa"/>
          <w:right w:w="108" w:type="dxa"/>
        </w:tblCellMar>
      </w:tblPr>
      <w:tblGrid>
        <w:gridCol w:w="656"/>
        <w:gridCol w:w="954"/>
        <w:gridCol w:w="957"/>
        <w:gridCol w:w="1276"/>
        <w:gridCol w:w="708"/>
        <w:gridCol w:w="1369"/>
        <w:gridCol w:w="1134"/>
        <w:gridCol w:w="1559"/>
      </w:tblGrid>
      <w:tr>
        <w:tblPrEx>
          <w:tblCellMar>
            <w:top w:w="0" w:type="dxa"/>
            <w:left w:w="108" w:type="dxa"/>
            <w:bottom w:w="0" w:type="dxa"/>
            <w:right w:w="108" w:type="dxa"/>
          </w:tblCellMar>
        </w:tblPrEx>
        <w:trPr>
          <w:trHeight w:val="540"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序号</w:t>
            </w:r>
          </w:p>
        </w:tc>
        <w:tc>
          <w:tcPr>
            <w:tcW w:w="95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客户名称</w:t>
            </w:r>
          </w:p>
        </w:tc>
        <w:tc>
          <w:tcPr>
            <w:tcW w:w="95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客户税号</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客户地址</w:t>
            </w:r>
          </w:p>
        </w:tc>
        <w:tc>
          <w:tcPr>
            <w:tcW w:w="70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客户电话</w:t>
            </w:r>
          </w:p>
        </w:tc>
        <w:tc>
          <w:tcPr>
            <w:tcW w:w="136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开户银行</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银行帐号</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客户收电子发票邮箱</w:t>
            </w:r>
          </w:p>
        </w:tc>
      </w:tr>
      <w:tr>
        <w:tblPrEx>
          <w:tblCellMar>
            <w:top w:w="0" w:type="dxa"/>
            <w:left w:w="108" w:type="dxa"/>
            <w:bottom w:w="0" w:type="dxa"/>
            <w:right w:w="108" w:type="dxa"/>
          </w:tblCellMar>
        </w:tblPrEx>
        <w:trPr>
          <w:trHeight w:val="1080" w:hRule="atLeast"/>
        </w:trPr>
        <w:tc>
          <w:tcPr>
            <w:tcW w:w="65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highlight w:val="yellow"/>
              </w:rPr>
              <w:t>示例</w:t>
            </w:r>
            <w:r>
              <w:rPr>
                <w:rFonts w:hint="eastAsia" w:ascii="宋体" w:hAnsi="宋体" w:cs="Calibri"/>
                <w:color w:val="000000"/>
                <w:kern w:val="0"/>
                <w:sz w:val="22"/>
                <w:szCs w:val="22"/>
              </w:rPr>
              <w:t>：</w:t>
            </w:r>
          </w:p>
        </w:tc>
        <w:tc>
          <w:tcPr>
            <w:tcW w:w="954"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山东钢铁集团日照有限公司</w:t>
            </w:r>
          </w:p>
        </w:tc>
        <w:tc>
          <w:tcPr>
            <w:tcW w:w="957"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91370000685900369J</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山东省日照市东港区临钢路1号</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w:t>
            </w:r>
          </w:p>
        </w:tc>
        <w:tc>
          <w:tcPr>
            <w:tcW w:w="1369"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中国建设银行股份有限公司日照分行营业部</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37001718808059677777</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Calibri"/>
                <w:color w:val="0563C1"/>
                <w:kern w:val="0"/>
                <w:sz w:val="22"/>
                <w:szCs w:val="22"/>
                <w:u w:val="single"/>
              </w:rPr>
            </w:pPr>
            <w:r>
              <w:rPr>
                <w:rFonts w:cs="Calibri"/>
              </w:rPr>
              <w:fldChar w:fldCharType="begin"/>
            </w:r>
            <w:r>
              <w:rPr>
                <w:rFonts w:cs="Calibri"/>
              </w:rPr>
              <w:instrText xml:space="preserve"> HYPERLINK "mailto:*****@**.com" </w:instrText>
            </w:r>
            <w:r>
              <w:rPr>
                <w:rFonts w:cs="Calibri"/>
              </w:rPr>
              <w:fldChar w:fldCharType="separate"/>
            </w:r>
            <w:r>
              <w:rPr>
                <w:rFonts w:ascii="宋体" w:hAnsi="宋体" w:cs="Calibri"/>
                <w:color w:val="0000FF"/>
                <w:u w:val="single"/>
              </w:rPr>
              <w:t>*****@**.com</w:t>
            </w:r>
            <w:r>
              <w:rPr>
                <w:rFonts w:cs="Calibri"/>
              </w:rPr>
              <w:fldChar w:fldCharType="end"/>
            </w:r>
          </w:p>
        </w:tc>
      </w:tr>
      <w:tr>
        <w:tblPrEx>
          <w:tblCellMar>
            <w:top w:w="0" w:type="dxa"/>
            <w:left w:w="108" w:type="dxa"/>
            <w:bottom w:w="0" w:type="dxa"/>
            <w:right w:w="108" w:type="dxa"/>
          </w:tblCellMar>
        </w:tblPrEx>
        <w:trPr>
          <w:trHeight w:val="270" w:hRule="atLeast"/>
        </w:trPr>
        <w:tc>
          <w:tcPr>
            <w:tcW w:w="65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954"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957"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708"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1369"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Calibri"/>
                <w:color w:val="000000"/>
                <w:kern w:val="0"/>
                <w:sz w:val="22"/>
                <w:szCs w:val="22"/>
              </w:rPr>
            </w:pPr>
            <w:r>
              <w:rPr>
                <w:rFonts w:hint="eastAsia" w:ascii="宋体" w:hAnsi="宋体" w:cs="Calibri"/>
                <w:color w:val="000000"/>
                <w:kern w:val="0"/>
                <w:sz w:val="22"/>
                <w:szCs w:val="22"/>
              </w:rPr>
              <w:t>　</w:t>
            </w:r>
          </w:p>
        </w:tc>
      </w:tr>
    </w:tbl>
    <w:p>
      <w:pPr>
        <w:spacing w:line="560" w:lineRule="exact"/>
        <w:ind w:firstLine="4900" w:firstLineChars="1750"/>
        <w:jc w:val="left"/>
        <w:rPr>
          <w:rFonts w:hint="eastAsia" w:ascii="仿宋_GB2312" w:hAnsi="宋体" w:eastAsia="仿宋_GB2312"/>
          <w:color w:val="000000"/>
          <w:sz w:val="28"/>
          <w:szCs w:val="28"/>
        </w:rPr>
      </w:pPr>
    </w:p>
    <w:sectPr>
      <w:pgSz w:w="11906" w:h="16838"/>
      <w:pgMar w:top="1701" w:right="1417" w:bottom="1417" w:left="1701" w:header="992" w:footer="850" w:gutter="0"/>
      <w:cols w:space="720" w:num="1"/>
      <w:titlePg/>
      <w:docGrid w:type="lines" w:linePitch="3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EBEA319-9671-4D1F-AEF7-B8C46B423E89}"/>
  </w:font>
  <w:font w:name="黑体">
    <w:panose1 w:val="02010609060101010101"/>
    <w:charset w:val="86"/>
    <w:family w:val="auto"/>
    <w:pitch w:val="default"/>
    <w:sig w:usb0="800002BF" w:usb1="38CF7CFA" w:usb2="00000016" w:usb3="00000000" w:csb0="00040001" w:csb1="00000000"/>
    <w:embedRegular r:id="rId2" w:fontKey="{5EC5FB8F-5054-4C0C-8D36-408341FC6A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C4030C9-2EC6-454D-95DA-1FA6D65598B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BCF70DA-631D-4C25-9DBA-D886E3F3DE87}"/>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embedRegular r:id="rId5" w:fontKey="{0B3235C1-4E88-45EC-9722-925C4FB747A8}"/>
  </w:font>
  <w:font w:name="楷体_GB2312">
    <w:panose1 w:val="02010609030101010101"/>
    <w:charset w:val="86"/>
    <w:family w:val="modern"/>
    <w:pitch w:val="default"/>
    <w:sig w:usb0="00000001" w:usb1="080E0000" w:usb2="00000000" w:usb3="00000000" w:csb0="00040000" w:csb1="00000000"/>
    <w:embedRegular r:id="rId6" w:fontKey="{41F4D877-684E-4EDB-8C2B-FD752127E3EA}"/>
  </w:font>
  <w:font w:name="仿宋">
    <w:panose1 w:val="02010609060101010101"/>
    <w:charset w:val="86"/>
    <w:family w:val="modern"/>
    <w:pitch w:val="default"/>
    <w:sig w:usb0="800002BF" w:usb1="38CF7CFA" w:usb2="00000016" w:usb3="00000000" w:csb0="00040001" w:csb1="00000000"/>
    <w:embedRegular r:id="rId7" w:fontKey="{CA6947A5-9651-4934-9569-A3C961657A3E}"/>
  </w:font>
  <w:font w:name="方正仿宋_GB2312">
    <w:panose1 w:val="02000000000000000000"/>
    <w:charset w:val="86"/>
    <w:family w:val="auto"/>
    <w:pitch w:val="default"/>
    <w:sig w:usb0="00000000" w:usb1="00000000" w:usb2="00000000" w:usb3="00000000" w:csb0="00000000" w:csb1="00000000"/>
    <w:embedRegular r:id="rId8" w:fontKey="{F11B19F9-B0CF-444E-B0F7-A236E67E106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楷体_GB2312" w:hAnsi="宋体" w:eastAsia="楷体_GB2312"/>
        <w:b/>
        <w:bCs/>
        <w:i/>
        <w:iCs/>
        <w:sz w:val="24"/>
      </w:rPr>
    </w:pPr>
    <w:r>
      <w:rPr>
        <w:rFonts w:ascii="宋体" w:hAnsi="宋体"/>
        <w:b/>
        <w:sz w:val="36"/>
        <w:szCs w:val="36"/>
      </w:rPr>
      <w:drawing>
        <wp:inline distT="0" distB="0" distL="114300" distR="114300">
          <wp:extent cx="317500" cy="351155"/>
          <wp:effectExtent l="0" t="0" r="6350" b="1079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山东钢铁集团日照有限公司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68E64"/>
    <w:multiLevelType w:val="singleLevel"/>
    <w:tmpl w:val="F0068E64"/>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japaneseCounting"/>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B18A83"/>
    <w:multiLevelType w:val="singleLevel"/>
    <w:tmpl w:val="24B18A83"/>
    <w:lvl w:ilvl="0" w:tentative="0">
      <w:start w:val="5"/>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小水">
    <w15:presenceInfo w15:providerId="WPS Office" w15:userId="2688681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175"/>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mQ4M2VjMzkyNjUzMjk1NmZjOTk5YzkxYzg5Y2IifQ=="/>
    <w:docVar w:name="KSO_WPS_MARK_KEY" w:val="d60809f4-6cf9-4c1c-8a91-951f7eba5a5a"/>
  </w:docVars>
  <w:rsids>
    <w:rsidRoot w:val="00104F5A"/>
    <w:rsid w:val="000048E0"/>
    <w:rsid w:val="00007E25"/>
    <w:rsid w:val="00013108"/>
    <w:rsid w:val="000161D9"/>
    <w:rsid w:val="00023C76"/>
    <w:rsid w:val="0002452B"/>
    <w:rsid w:val="00024FDB"/>
    <w:rsid w:val="00027FB0"/>
    <w:rsid w:val="00031D9B"/>
    <w:rsid w:val="00033A60"/>
    <w:rsid w:val="00034AF1"/>
    <w:rsid w:val="0003616A"/>
    <w:rsid w:val="0004180F"/>
    <w:rsid w:val="000419EF"/>
    <w:rsid w:val="00041E11"/>
    <w:rsid w:val="0004235D"/>
    <w:rsid w:val="00051B8C"/>
    <w:rsid w:val="000556D0"/>
    <w:rsid w:val="0006067D"/>
    <w:rsid w:val="00062527"/>
    <w:rsid w:val="00063D56"/>
    <w:rsid w:val="00066CC6"/>
    <w:rsid w:val="0007408C"/>
    <w:rsid w:val="0008700D"/>
    <w:rsid w:val="000A2DA0"/>
    <w:rsid w:val="000A501E"/>
    <w:rsid w:val="000A542A"/>
    <w:rsid w:val="000A69A1"/>
    <w:rsid w:val="000B1B3A"/>
    <w:rsid w:val="000B25F7"/>
    <w:rsid w:val="000B3296"/>
    <w:rsid w:val="000B34B5"/>
    <w:rsid w:val="000B3B49"/>
    <w:rsid w:val="000C161C"/>
    <w:rsid w:val="000D1208"/>
    <w:rsid w:val="000D3619"/>
    <w:rsid w:val="000D426F"/>
    <w:rsid w:val="000E3E04"/>
    <w:rsid w:val="000E4138"/>
    <w:rsid w:val="000E459E"/>
    <w:rsid w:val="000E4BA0"/>
    <w:rsid w:val="000E566B"/>
    <w:rsid w:val="000E5E3F"/>
    <w:rsid w:val="000F246B"/>
    <w:rsid w:val="0010442C"/>
    <w:rsid w:val="00104BF2"/>
    <w:rsid w:val="00104F5A"/>
    <w:rsid w:val="00110B7F"/>
    <w:rsid w:val="00110E51"/>
    <w:rsid w:val="00114F47"/>
    <w:rsid w:val="00120317"/>
    <w:rsid w:val="00120815"/>
    <w:rsid w:val="00122E8C"/>
    <w:rsid w:val="0012384A"/>
    <w:rsid w:val="00124AD9"/>
    <w:rsid w:val="00131EB1"/>
    <w:rsid w:val="00133374"/>
    <w:rsid w:val="001343B7"/>
    <w:rsid w:val="00135923"/>
    <w:rsid w:val="00140B18"/>
    <w:rsid w:val="0014181F"/>
    <w:rsid w:val="00144C0B"/>
    <w:rsid w:val="00152325"/>
    <w:rsid w:val="0015265C"/>
    <w:rsid w:val="00165587"/>
    <w:rsid w:val="00166979"/>
    <w:rsid w:val="001962D5"/>
    <w:rsid w:val="001A0B8E"/>
    <w:rsid w:val="001A181F"/>
    <w:rsid w:val="001A20C3"/>
    <w:rsid w:val="001A2297"/>
    <w:rsid w:val="001A24A2"/>
    <w:rsid w:val="001A24A3"/>
    <w:rsid w:val="001A3523"/>
    <w:rsid w:val="001A63BA"/>
    <w:rsid w:val="001C04A9"/>
    <w:rsid w:val="001C4211"/>
    <w:rsid w:val="001C7EA9"/>
    <w:rsid w:val="001D467F"/>
    <w:rsid w:val="001D7BE8"/>
    <w:rsid w:val="001E5D8B"/>
    <w:rsid w:val="001F22FC"/>
    <w:rsid w:val="002013E1"/>
    <w:rsid w:val="00202594"/>
    <w:rsid w:val="00204A82"/>
    <w:rsid w:val="00213FCD"/>
    <w:rsid w:val="0021469A"/>
    <w:rsid w:val="0022109F"/>
    <w:rsid w:val="00221F1D"/>
    <w:rsid w:val="0022625A"/>
    <w:rsid w:val="00226F25"/>
    <w:rsid w:val="00232C79"/>
    <w:rsid w:val="00241256"/>
    <w:rsid w:val="00241CFE"/>
    <w:rsid w:val="00244EF7"/>
    <w:rsid w:val="00246A94"/>
    <w:rsid w:val="0025335E"/>
    <w:rsid w:val="00257505"/>
    <w:rsid w:val="002615A2"/>
    <w:rsid w:val="002617B2"/>
    <w:rsid w:val="00263047"/>
    <w:rsid w:val="00265C42"/>
    <w:rsid w:val="00270BEE"/>
    <w:rsid w:val="002742A3"/>
    <w:rsid w:val="002747D2"/>
    <w:rsid w:val="002772A4"/>
    <w:rsid w:val="002862A7"/>
    <w:rsid w:val="00292412"/>
    <w:rsid w:val="0029397C"/>
    <w:rsid w:val="002A1514"/>
    <w:rsid w:val="002A37DC"/>
    <w:rsid w:val="002A5A14"/>
    <w:rsid w:val="002B19C4"/>
    <w:rsid w:val="002B5322"/>
    <w:rsid w:val="002B5865"/>
    <w:rsid w:val="002B7ABA"/>
    <w:rsid w:val="002C1AAB"/>
    <w:rsid w:val="002C3492"/>
    <w:rsid w:val="002D1587"/>
    <w:rsid w:val="002D18EA"/>
    <w:rsid w:val="002D2AE2"/>
    <w:rsid w:val="002D5B41"/>
    <w:rsid w:val="002E0263"/>
    <w:rsid w:val="002E1521"/>
    <w:rsid w:val="002E1B9F"/>
    <w:rsid w:val="002E1F89"/>
    <w:rsid w:val="002E68AF"/>
    <w:rsid w:val="002F55D9"/>
    <w:rsid w:val="002F56CB"/>
    <w:rsid w:val="002F7B6E"/>
    <w:rsid w:val="003045BA"/>
    <w:rsid w:val="00307E71"/>
    <w:rsid w:val="0031191A"/>
    <w:rsid w:val="00312556"/>
    <w:rsid w:val="00313AC1"/>
    <w:rsid w:val="0031629A"/>
    <w:rsid w:val="00317723"/>
    <w:rsid w:val="00320D06"/>
    <w:rsid w:val="0032562F"/>
    <w:rsid w:val="00327078"/>
    <w:rsid w:val="0033062D"/>
    <w:rsid w:val="0033257E"/>
    <w:rsid w:val="00334B8A"/>
    <w:rsid w:val="00343544"/>
    <w:rsid w:val="00347C0A"/>
    <w:rsid w:val="00350749"/>
    <w:rsid w:val="00360D67"/>
    <w:rsid w:val="00362003"/>
    <w:rsid w:val="00363546"/>
    <w:rsid w:val="00365177"/>
    <w:rsid w:val="0037298B"/>
    <w:rsid w:val="00380404"/>
    <w:rsid w:val="00380C50"/>
    <w:rsid w:val="003843BD"/>
    <w:rsid w:val="003849EB"/>
    <w:rsid w:val="00385A35"/>
    <w:rsid w:val="00385A38"/>
    <w:rsid w:val="00390796"/>
    <w:rsid w:val="003A3CB3"/>
    <w:rsid w:val="003A6B68"/>
    <w:rsid w:val="003B5408"/>
    <w:rsid w:val="003B7FAA"/>
    <w:rsid w:val="003C1024"/>
    <w:rsid w:val="003C3244"/>
    <w:rsid w:val="003C3560"/>
    <w:rsid w:val="003C3D15"/>
    <w:rsid w:val="003C3EAF"/>
    <w:rsid w:val="003C5E04"/>
    <w:rsid w:val="003D107A"/>
    <w:rsid w:val="003D5EDF"/>
    <w:rsid w:val="003E3F14"/>
    <w:rsid w:val="003E4876"/>
    <w:rsid w:val="003E4A9D"/>
    <w:rsid w:val="003E6F44"/>
    <w:rsid w:val="003F08B9"/>
    <w:rsid w:val="003F2E97"/>
    <w:rsid w:val="004008F8"/>
    <w:rsid w:val="00414A07"/>
    <w:rsid w:val="0042452A"/>
    <w:rsid w:val="00431097"/>
    <w:rsid w:val="00445278"/>
    <w:rsid w:val="00453D43"/>
    <w:rsid w:val="00462C00"/>
    <w:rsid w:val="0046763B"/>
    <w:rsid w:val="00477F15"/>
    <w:rsid w:val="00483981"/>
    <w:rsid w:val="00486875"/>
    <w:rsid w:val="00487726"/>
    <w:rsid w:val="00492BD3"/>
    <w:rsid w:val="00492E4E"/>
    <w:rsid w:val="00493F51"/>
    <w:rsid w:val="00494C7C"/>
    <w:rsid w:val="00495AD9"/>
    <w:rsid w:val="004C02AC"/>
    <w:rsid w:val="004C0C0D"/>
    <w:rsid w:val="004C1774"/>
    <w:rsid w:val="004C4711"/>
    <w:rsid w:val="004D24C1"/>
    <w:rsid w:val="004D66C2"/>
    <w:rsid w:val="004D6841"/>
    <w:rsid w:val="004E0202"/>
    <w:rsid w:val="004E377B"/>
    <w:rsid w:val="004E3D70"/>
    <w:rsid w:val="004E6B77"/>
    <w:rsid w:val="004F48A6"/>
    <w:rsid w:val="004F5300"/>
    <w:rsid w:val="004F75BB"/>
    <w:rsid w:val="0050432B"/>
    <w:rsid w:val="00506E32"/>
    <w:rsid w:val="00512CAD"/>
    <w:rsid w:val="005133A2"/>
    <w:rsid w:val="0052502D"/>
    <w:rsid w:val="00525C37"/>
    <w:rsid w:val="00530D8D"/>
    <w:rsid w:val="005340AE"/>
    <w:rsid w:val="00535899"/>
    <w:rsid w:val="00541751"/>
    <w:rsid w:val="00543443"/>
    <w:rsid w:val="00545EBD"/>
    <w:rsid w:val="00546836"/>
    <w:rsid w:val="005519CA"/>
    <w:rsid w:val="00556240"/>
    <w:rsid w:val="00556C99"/>
    <w:rsid w:val="0055743E"/>
    <w:rsid w:val="00557F44"/>
    <w:rsid w:val="005607AB"/>
    <w:rsid w:val="00561D29"/>
    <w:rsid w:val="005858FA"/>
    <w:rsid w:val="00587BBB"/>
    <w:rsid w:val="00590979"/>
    <w:rsid w:val="00594162"/>
    <w:rsid w:val="00594B36"/>
    <w:rsid w:val="005A0704"/>
    <w:rsid w:val="005B1083"/>
    <w:rsid w:val="005B15A0"/>
    <w:rsid w:val="005B2308"/>
    <w:rsid w:val="005B4777"/>
    <w:rsid w:val="005B574E"/>
    <w:rsid w:val="005B6EE9"/>
    <w:rsid w:val="005B7AD0"/>
    <w:rsid w:val="005C1B7A"/>
    <w:rsid w:val="005C6810"/>
    <w:rsid w:val="005D1821"/>
    <w:rsid w:val="005D38A9"/>
    <w:rsid w:val="005E34B8"/>
    <w:rsid w:val="005E4779"/>
    <w:rsid w:val="005F2C8C"/>
    <w:rsid w:val="005F47DF"/>
    <w:rsid w:val="00601126"/>
    <w:rsid w:val="00601824"/>
    <w:rsid w:val="006022D2"/>
    <w:rsid w:val="00607B74"/>
    <w:rsid w:val="006166A0"/>
    <w:rsid w:val="00616840"/>
    <w:rsid w:val="00622D2E"/>
    <w:rsid w:val="00623023"/>
    <w:rsid w:val="006241CE"/>
    <w:rsid w:val="00631E5D"/>
    <w:rsid w:val="00631FE3"/>
    <w:rsid w:val="00636FCB"/>
    <w:rsid w:val="006428BE"/>
    <w:rsid w:val="00644CB6"/>
    <w:rsid w:val="00646D50"/>
    <w:rsid w:val="00647736"/>
    <w:rsid w:val="00650019"/>
    <w:rsid w:val="00664810"/>
    <w:rsid w:val="00665C70"/>
    <w:rsid w:val="0067233E"/>
    <w:rsid w:val="00672BC7"/>
    <w:rsid w:val="0067530B"/>
    <w:rsid w:val="00675831"/>
    <w:rsid w:val="00675E2E"/>
    <w:rsid w:val="00686725"/>
    <w:rsid w:val="00690C28"/>
    <w:rsid w:val="00692CBC"/>
    <w:rsid w:val="00692EAE"/>
    <w:rsid w:val="006943E8"/>
    <w:rsid w:val="006947FD"/>
    <w:rsid w:val="006A2303"/>
    <w:rsid w:val="006A40AD"/>
    <w:rsid w:val="006A5903"/>
    <w:rsid w:val="006A70B8"/>
    <w:rsid w:val="006B0079"/>
    <w:rsid w:val="006B35B4"/>
    <w:rsid w:val="006B5E75"/>
    <w:rsid w:val="006B6A1C"/>
    <w:rsid w:val="006C2D76"/>
    <w:rsid w:val="006C3072"/>
    <w:rsid w:val="006D2EFE"/>
    <w:rsid w:val="006E5993"/>
    <w:rsid w:val="006E71A2"/>
    <w:rsid w:val="006F18DA"/>
    <w:rsid w:val="006F35EA"/>
    <w:rsid w:val="0070162B"/>
    <w:rsid w:val="00703C11"/>
    <w:rsid w:val="00705CC6"/>
    <w:rsid w:val="00706ECE"/>
    <w:rsid w:val="00714785"/>
    <w:rsid w:val="00720321"/>
    <w:rsid w:val="007203EE"/>
    <w:rsid w:val="007220BB"/>
    <w:rsid w:val="0072443A"/>
    <w:rsid w:val="007420EB"/>
    <w:rsid w:val="00745549"/>
    <w:rsid w:val="00747F36"/>
    <w:rsid w:val="00752A69"/>
    <w:rsid w:val="0077006E"/>
    <w:rsid w:val="00771E66"/>
    <w:rsid w:val="00773908"/>
    <w:rsid w:val="00774366"/>
    <w:rsid w:val="00775ACD"/>
    <w:rsid w:val="00775B03"/>
    <w:rsid w:val="007806A5"/>
    <w:rsid w:val="0078495B"/>
    <w:rsid w:val="00785386"/>
    <w:rsid w:val="0079390F"/>
    <w:rsid w:val="007943AF"/>
    <w:rsid w:val="00795844"/>
    <w:rsid w:val="00796F34"/>
    <w:rsid w:val="007A4A8E"/>
    <w:rsid w:val="007B0BFE"/>
    <w:rsid w:val="007B6415"/>
    <w:rsid w:val="007B7929"/>
    <w:rsid w:val="007C212B"/>
    <w:rsid w:val="007C5B1D"/>
    <w:rsid w:val="007D1BF4"/>
    <w:rsid w:val="007D6E35"/>
    <w:rsid w:val="007E1260"/>
    <w:rsid w:val="007E1AF5"/>
    <w:rsid w:val="007E4567"/>
    <w:rsid w:val="007F5BF9"/>
    <w:rsid w:val="0081394F"/>
    <w:rsid w:val="00816AAB"/>
    <w:rsid w:val="00817134"/>
    <w:rsid w:val="0082505F"/>
    <w:rsid w:val="008270EB"/>
    <w:rsid w:val="00832876"/>
    <w:rsid w:val="0083330C"/>
    <w:rsid w:val="0083386A"/>
    <w:rsid w:val="0084288D"/>
    <w:rsid w:val="00844EB2"/>
    <w:rsid w:val="008470C2"/>
    <w:rsid w:val="00851571"/>
    <w:rsid w:val="008767F4"/>
    <w:rsid w:val="00876D2D"/>
    <w:rsid w:val="00880196"/>
    <w:rsid w:val="00884C17"/>
    <w:rsid w:val="008857F8"/>
    <w:rsid w:val="00897174"/>
    <w:rsid w:val="008A0534"/>
    <w:rsid w:val="008A07F4"/>
    <w:rsid w:val="008A0997"/>
    <w:rsid w:val="008A2B4C"/>
    <w:rsid w:val="008A6343"/>
    <w:rsid w:val="008A6494"/>
    <w:rsid w:val="008A67F3"/>
    <w:rsid w:val="008A69AD"/>
    <w:rsid w:val="008B0D47"/>
    <w:rsid w:val="008B3044"/>
    <w:rsid w:val="008B4CA4"/>
    <w:rsid w:val="008B7607"/>
    <w:rsid w:val="008B7B42"/>
    <w:rsid w:val="008B7DBA"/>
    <w:rsid w:val="008C147F"/>
    <w:rsid w:val="008C2A1A"/>
    <w:rsid w:val="008C53C1"/>
    <w:rsid w:val="008C643A"/>
    <w:rsid w:val="008C6FBE"/>
    <w:rsid w:val="008D3DEA"/>
    <w:rsid w:val="008E5815"/>
    <w:rsid w:val="008E6428"/>
    <w:rsid w:val="008E7AA9"/>
    <w:rsid w:val="008F1B42"/>
    <w:rsid w:val="008F5F7A"/>
    <w:rsid w:val="00902097"/>
    <w:rsid w:val="00906CF2"/>
    <w:rsid w:val="00906EA6"/>
    <w:rsid w:val="009102D0"/>
    <w:rsid w:val="0091541C"/>
    <w:rsid w:val="009210F6"/>
    <w:rsid w:val="00922023"/>
    <w:rsid w:val="0092717E"/>
    <w:rsid w:val="00927526"/>
    <w:rsid w:val="00933EF3"/>
    <w:rsid w:val="00935387"/>
    <w:rsid w:val="00941FE9"/>
    <w:rsid w:val="009450B1"/>
    <w:rsid w:val="0095794D"/>
    <w:rsid w:val="009601A4"/>
    <w:rsid w:val="009608E0"/>
    <w:rsid w:val="009671D0"/>
    <w:rsid w:val="00967295"/>
    <w:rsid w:val="00970DED"/>
    <w:rsid w:val="00973783"/>
    <w:rsid w:val="0097754E"/>
    <w:rsid w:val="00980C1A"/>
    <w:rsid w:val="00982E48"/>
    <w:rsid w:val="00987D32"/>
    <w:rsid w:val="00992956"/>
    <w:rsid w:val="00995F0F"/>
    <w:rsid w:val="00996E89"/>
    <w:rsid w:val="009A0332"/>
    <w:rsid w:val="009A4CAB"/>
    <w:rsid w:val="009B2CA1"/>
    <w:rsid w:val="009C6A27"/>
    <w:rsid w:val="009D0E1D"/>
    <w:rsid w:val="009D44F5"/>
    <w:rsid w:val="009E1146"/>
    <w:rsid w:val="009F17A1"/>
    <w:rsid w:val="009F2A50"/>
    <w:rsid w:val="009F7F7D"/>
    <w:rsid w:val="00A04573"/>
    <w:rsid w:val="00A04ED5"/>
    <w:rsid w:val="00A165D3"/>
    <w:rsid w:val="00A218AD"/>
    <w:rsid w:val="00A22F99"/>
    <w:rsid w:val="00A2324C"/>
    <w:rsid w:val="00A2355F"/>
    <w:rsid w:val="00A261A7"/>
    <w:rsid w:val="00A345E3"/>
    <w:rsid w:val="00A36FC0"/>
    <w:rsid w:val="00A40700"/>
    <w:rsid w:val="00A44AA9"/>
    <w:rsid w:val="00A44B8C"/>
    <w:rsid w:val="00A5170D"/>
    <w:rsid w:val="00A57AF6"/>
    <w:rsid w:val="00A617EC"/>
    <w:rsid w:val="00A61CF4"/>
    <w:rsid w:val="00A67BC2"/>
    <w:rsid w:val="00A712D0"/>
    <w:rsid w:val="00A8213B"/>
    <w:rsid w:val="00A83AC9"/>
    <w:rsid w:val="00A8547B"/>
    <w:rsid w:val="00A94AD8"/>
    <w:rsid w:val="00A966F9"/>
    <w:rsid w:val="00AA2265"/>
    <w:rsid w:val="00AB23C4"/>
    <w:rsid w:val="00AB675F"/>
    <w:rsid w:val="00AC79ED"/>
    <w:rsid w:val="00AD1587"/>
    <w:rsid w:val="00AD2367"/>
    <w:rsid w:val="00AD2750"/>
    <w:rsid w:val="00AD7BC9"/>
    <w:rsid w:val="00AE775A"/>
    <w:rsid w:val="00B0784F"/>
    <w:rsid w:val="00B10D21"/>
    <w:rsid w:val="00B114EA"/>
    <w:rsid w:val="00B13F77"/>
    <w:rsid w:val="00B20D59"/>
    <w:rsid w:val="00B25E0B"/>
    <w:rsid w:val="00B2633E"/>
    <w:rsid w:val="00B30459"/>
    <w:rsid w:val="00B42F33"/>
    <w:rsid w:val="00B503FB"/>
    <w:rsid w:val="00B532FC"/>
    <w:rsid w:val="00B63052"/>
    <w:rsid w:val="00B63F47"/>
    <w:rsid w:val="00B76023"/>
    <w:rsid w:val="00B81630"/>
    <w:rsid w:val="00B8511A"/>
    <w:rsid w:val="00B90041"/>
    <w:rsid w:val="00B91DCC"/>
    <w:rsid w:val="00B94C3B"/>
    <w:rsid w:val="00BA4CBE"/>
    <w:rsid w:val="00BB3260"/>
    <w:rsid w:val="00BB3940"/>
    <w:rsid w:val="00BB46B0"/>
    <w:rsid w:val="00BB77C6"/>
    <w:rsid w:val="00BD1F33"/>
    <w:rsid w:val="00BD3168"/>
    <w:rsid w:val="00BE0CC0"/>
    <w:rsid w:val="00BE3F18"/>
    <w:rsid w:val="00BE4DDD"/>
    <w:rsid w:val="00C013BD"/>
    <w:rsid w:val="00C050FD"/>
    <w:rsid w:val="00C053D0"/>
    <w:rsid w:val="00C071C2"/>
    <w:rsid w:val="00C142DC"/>
    <w:rsid w:val="00C216F7"/>
    <w:rsid w:val="00C21FEC"/>
    <w:rsid w:val="00C236E6"/>
    <w:rsid w:val="00C3046A"/>
    <w:rsid w:val="00C313D7"/>
    <w:rsid w:val="00C436DE"/>
    <w:rsid w:val="00C44A9F"/>
    <w:rsid w:val="00C50092"/>
    <w:rsid w:val="00C54ADA"/>
    <w:rsid w:val="00C60073"/>
    <w:rsid w:val="00C60A01"/>
    <w:rsid w:val="00C64489"/>
    <w:rsid w:val="00C70441"/>
    <w:rsid w:val="00C72342"/>
    <w:rsid w:val="00C77402"/>
    <w:rsid w:val="00C81CF5"/>
    <w:rsid w:val="00C8356E"/>
    <w:rsid w:val="00C84F99"/>
    <w:rsid w:val="00C906B3"/>
    <w:rsid w:val="00C97ED2"/>
    <w:rsid w:val="00CA0CAD"/>
    <w:rsid w:val="00CA0EE3"/>
    <w:rsid w:val="00CA3530"/>
    <w:rsid w:val="00CA5762"/>
    <w:rsid w:val="00CB0489"/>
    <w:rsid w:val="00CB0A30"/>
    <w:rsid w:val="00CB0FBC"/>
    <w:rsid w:val="00CB2EA3"/>
    <w:rsid w:val="00CB7684"/>
    <w:rsid w:val="00CC525B"/>
    <w:rsid w:val="00CD3A0C"/>
    <w:rsid w:val="00CD4448"/>
    <w:rsid w:val="00CD44A4"/>
    <w:rsid w:val="00CD44EF"/>
    <w:rsid w:val="00CD5C78"/>
    <w:rsid w:val="00CE78CA"/>
    <w:rsid w:val="00CF387C"/>
    <w:rsid w:val="00CF6C6A"/>
    <w:rsid w:val="00D07BCF"/>
    <w:rsid w:val="00D176F3"/>
    <w:rsid w:val="00D203C0"/>
    <w:rsid w:val="00D43247"/>
    <w:rsid w:val="00D43AF8"/>
    <w:rsid w:val="00D45F2F"/>
    <w:rsid w:val="00D467E6"/>
    <w:rsid w:val="00D46FAF"/>
    <w:rsid w:val="00D479BA"/>
    <w:rsid w:val="00D676EE"/>
    <w:rsid w:val="00D6786F"/>
    <w:rsid w:val="00D7591E"/>
    <w:rsid w:val="00D81038"/>
    <w:rsid w:val="00D83A23"/>
    <w:rsid w:val="00D92F3F"/>
    <w:rsid w:val="00D935C3"/>
    <w:rsid w:val="00D941D2"/>
    <w:rsid w:val="00D94EDC"/>
    <w:rsid w:val="00DA0252"/>
    <w:rsid w:val="00DA0524"/>
    <w:rsid w:val="00DA375F"/>
    <w:rsid w:val="00DA6570"/>
    <w:rsid w:val="00DB4FAB"/>
    <w:rsid w:val="00DB6988"/>
    <w:rsid w:val="00DC1F07"/>
    <w:rsid w:val="00DC27E2"/>
    <w:rsid w:val="00DC66B6"/>
    <w:rsid w:val="00DD3C75"/>
    <w:rsid w:val="00DE266F"/>
    <w:rsid w:val="00DE33D3"/>
    <w:rsid w:val="00DE6E95"/>
    <w:rsid w:val="00DF1A6B"/>
    <w:rsid w:val="00DF7603"/>
    <w:rsid w:val="00E0049C"/>
    <w:rsid w:val="00E01954"/>
    <w:rsid w:val="00E04386"/>
    <w:rsid w:val="00E0713B"/>
    <w:rsid w:val="00E07E75"/>
    <w:rsid w:val="00E124E7"/>
    <w:rsid w:val="00E12EBF"/>
    <w:rsid w:val="00E12F51"/>
    <w:rsid w:val="00E13E98"/>
    <w:rsid w:val="00E216F1"/>
    <w:rsid w:val="00E21782"/>
    <w:rsid w:val="00E22F69"/>
    <w:rsid w:val="00E23810"/>
    <w:rsid w:val="00E24302"/>
    <w:rsid w:val="00E25391"/>
    <w:rsid w:val="00E31C67"/>
    <w:rsid w:val="00E33758"/>
    <w:rsid w:val="00E35C2B"/>
    <w:rsid w:val="00E363F3"/>
    <w:rsid w:val="00E43139"/>
    <w:rsid w:val="00E50501"/>
    <w:rsid w:val="00E53234"/>
    <w:rsid w:val="00E541FD"/>
    <w:rsid w:val="00E576EB"/>
    <w:rsid w:val="00E64531"/>
    <w:rsid w:val="00E65B02"/>
    <w:rsid w:val="00E67367"/>
    <w:rsid w:val="00E67CF7"/>
    <w:rsid w:val="00E7021A"/>
    <w:rsid w:val="00E7108B"/>
    <w:rsid w:val="00E71BF5"/>
    <w:rsid w:val="00E800F6"/>
    <w:rsid w:val="00E8252B"/>
    <w:rsid w:val="00E832AD"/>
    <w:rsid w:val="00E877D0"/>
    <w:rsid w:val="00E90ADA"/>
    <w:rsid w:val="00E92043"/>
    <w:rsid w:val="00E94D7A"/>
    <w:rsid w:val="00EA1DA9"/>
    <w:rsid w:val="00EA2094"/>
    <w:rsid w:val="00EB23E1"/>
    <w:rsid w:val="00EB61FA"/>
    <w:rsid w:val="00EB750C"/>
    <w:rsid w:val="00EC428B"/>
    <w:rsid w:val="00EC4E8A"/>
    <w:rsid w:val="00ED4DF1"/>
    <w:rsid w:val="00ED58BC"/>
    <w:rsid w:val="00EE16F6"/>
    <w:rsid w:val="00EE2BF4"/>
    <w:rsid w:val="00EE2BFC"/>
    <w:rsid w:val="00EE41F2"/>
    <w:rsid w:val="00EE52EA"/>
    <w:rsid w:val="00EF1A84"/>
    <w:rsid w:val="00EF2F7A"/>
    <w:rsid w:val="00EF79E5"/>
    <w:rsid w:val="00EF7B50"/>
    <w:rsid w:val="00F015A4"/>
    <w:rsid w:val="00F10EF6"/>
    <w:rsid w:val="00F13149"/>
    <w:rsid w:val="00F13A54"/>
    <w:rsid w:val="00F15544"/>
    <w:rsid w:val="00F22DD8"/>
    <w:rsid w:val="00F255F4"/>
    <w:rsid w:val="00F27652"/>
    <w:rsid w:val="00F279ED"/>
    <w:rsid w:val="00F31B7C"/>
    <w:rsid w:val="00F335AB"/>
    <w:rsid w:val="00F4181A"/>
    <w:rsid w:val="00F42DBB"/>
    <w:rsid w:val="00F517AC"/>
    <w:rsid w:val="00F51E96"/>
    <w:rsid w:val="00F52ACB"/>
    <w:rsid w:val="00F57922"/>
    <w:rsid w:val="00F67F4E"/>
    <w:rsid w:val="00F70418"/>
    <w:rsid w:val="00F8119D"/>
    <w:rsid w:val="00F84744"/>
    <w:rsid w:val="00F84D5D"/>
    <w:rsid w:val="00F851F0"/>
    <w:rsid w:val="00F944D9"/>
    <w:rsid w:val="00FA2FF5"/>
    <w:rsid w:val="00FA5020"/>
    <w:rsid w:val="00FA6DE1"/>
    <w:rsid w:val="00FB4EE6"/>
    <w:rsid w:val="00FC45A0"/>
    <w:rsid w:val="00FD760D"/>
    <w:rsid w:val="00FE211E"/>
    <w:rsid w:val="00FE2866"/>
    <w:rsid w:val="00FE7D22"/>
    <w:rsid w:val="00FF31D5"/>
    <w:rsid w:val="00FF64D0"/>
    <w:rsid w:val="00FF681C"/>
    <w:rsid w:val="013E7355"/>
    <w:rsid w:val="014001AC"/>
    <w:rsid w:val="028F57ED"/>
    <w:rsid w:val="03070B4C"/>
    <w:rsid w:val="04567CE7"/>
    <w:rsid w:val="07322345"/>
    <w:rsid w:val="077C5CB6"/>
    <w:rsid w:val="081F34EB"/>
    <w:rsid w:val="088D5521"/>
    <w:rsid w:val="09572B19"/>
    <w:rsid w:val="09684419"/>
    <w:rsid w:val="0A3B4ACF"/>
    <w:rsid w:val="0AC90CD3"/>
    <w:rsid w:val="0D180A78"/>
    <w:rsid w:val="0E0644BE"/>
    <w:rsid w:val="0E1253A2"/>
    <w:rsid w:val="0EE33AD5"/>
    <w:rsid w:val="0EF44384"/>
    <w:rsid w:val="11B30526"/>
    <w:rsid w:val="11D010D8"/>
    <w:rsid w:val="125B033A"/>
    <w:rsid w:val="12F35C13"/>
    <w:rsid w:val="13D84274"/>
    <w:rsid w:val="146F50F0"/>
    <w:rsid w:val="14E11066"/>
    <w:rsid w:val="1577159E"/>
    <w:rsid w:val="16EA6CD3"/>
    <w:rsid w:val="16F44923"/>
    <w:rsid w:val="172B730C"/>
    <w:rsid w:val="179028EF"/>
    <w:rsid w:val="19F66A53"/>
    <w:rsid w:val="1B0B00C7"/>
    <w:rsid w:val="1B216501"/>
    <w:rsid w:val="1BCD44DC"/>
    <w:rsid w:val="1C1B73BF"/>
    <w:rsid w:val="1C774B91"/>
    <w:rsid w:val="1E426947"/>
    <w:rsid w:val="1E4428C8"/>
    <w:rsid w:val="1EAF4494"/>
    <w:rsid w:val="1F804347"/>
    <w:rsid w:val="22651630"/>
    <w:rsid w:val="233F7E6C"/>
    <w:rsid w:val="250B4878"/>
    <w:rsid w:val="25331C52"/>
    <w:rsid w:val="25844EF1"/>
    <w:rsid w:val="27A60200"/>
    <w:rsid w:val="283A4C41"/>
    <w:rsid w:val="28581DC7"/>
    <w:rsid w:val="2A043066"/>
    <w:rsid w:val="2AF94971"/>
    <w:rsid w:val="2C5352F3"/>
    <w:rsid w:val="2CFD4811"/>
    <w:rsid w:val="2D0328D9"/>
    <w:rsid w:val="2D482013"/>
    <w:rsid w:val="2D585508"/>
    <w:rsid w:val="2DEF06E0"/>
    <w:rsid w:val="2EF266DA"/>
    <w:rsid w:val="2F6A2EA7"/>
    <w:rsid w:val="318125E2"/>
    <w:rsid w:val="3390006E"/>
    <w:rsid w:val="33DC59F9"/>
    <w:rsid w:val="33F21C0A"/>
    <w:rsid w:val="35C31268"/>
    <w:rsid w:val="386D06B7"/>
    <w:rsid w:val="39357C58"/>
    <w:rsid w:val="3BD6226A"/>
    <w:rsid w:val="3CCF62C8"/>
    <w:rsid w:val="3F1018D2"/>
    <w:rsid w:val="43D73379"/>
    <w:rsid w:val="44DC50C3"/>
    <w:rsid w:val="454809AA"/>
    <w:rsid w:val="45943D70"/>
    <w:rsid w:val="489319C2"/>
    <w:rsid w:val="48C560CE"/>
    <w:rsid w:val="49B04D70"/>
    <w:rsid w:val="4AD131F0"/>
    <w:rsid w:val="4AF46D1A"/>
    <w:rsid w:val="4C562D02"/>
    <w:rsid w:val="4C8D0A95"/>
    <w:rsid w:val="4DF416CF"/>
    <w:rsid w:val="4F2D6A0B"/>
    <w:rsid w:val="4F4941F2"/>
    <w:rsid w:val="4FB60BE3"/>
    <w:rsid w:val="4FB855A5"/>
    <w:rsid w:val="52D137DF"/>
    <w:rsid w:val="533F5F6C"/>
    <w:rsid w:val="5546779B"/>
    <w:rsid w:val="56625644"/>
    <w:rsid w:val="567E17B4"/>
    <w:rsid w:val="56BD7CA4"/>
    <w:rsid w:val="56FA36A6"/>
    <w:rsid w:val="57367AE6"/>
    <w:rsid w:val="5766769A"/>
    <w:rsid w:val="57781CFF"/>
    <w:rsid w:val="5C6F105C"/>
    <w:rsid w:val="5CD33DC8"/>
    <w:rsid w:val="5E505431"/>
    <w:rsid w:val="621E0449"/>
    <w:rsid w:val="62351B89"/>
    <w:rsid w:val="62986BBB"/>
    <w:rsid w:val="63323713"/>
    <w:rsid w:val="64B122A8"/>
    <w:rsid w:val="65F83DA6"/>
    <w:rsid w:val="679F7CC5"/>
    <w:rsid w:val="67AD20A2"/>
    <w:rsid w:val="683A01CF"/>
    <w:rsid w:val="69F745C9"/>
    <w:rsid w:val="6B086362"/>
    <w:rsid w:val="6C700721"/>
    <w:rsid w:val="6D723F67"/>
    <w:rsid w:val="6F3B1E49"/>
    <w:rsid w:val="70CB0E02"/>
    <w:rsid w:val="71162ECE"/>
    <w:rsid w:val="761E43C8"/>
    <w:rsid w:val="769F7133"/>
    <w:rsid w:val="76BB2F29"/>
    <w:rsid w:val="76F1414E"/>
    <w:rsid w:val="77602961"/>
    <w:rsid w:val="78873EA1"/>
    <w:rsid w:val="7A2544C3"/>
    <w:rsid w:val="7B62386D"/>
    <w:rsid w:val="7D8E15ED"/>
    <w:rsid w:val="7EC30AC6"/>
    <w:rsid w:val="7ED826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sz w:val="32"/>
      <w:szCs w:val="32"/>
    </w:rPr>
  </w:style>
  <w:style w:type="paragraph" w:styleId="4">
    <w:name w:val="heading 6"/>
    <w:basedOn w:val="1"/>
    <w:next w:val="5"/>
    <w:qFormat/>
    <w:uiPriority w:val="0"/>
    <w:pPr>
      <w:keepNext/>
      <w:jc w:val="center"/>
      <w:outlineLvl w:val="5"/>
    </w:pPr>
    <w:rPr>
      <w:b/>
      <w:sz w:val="44"/>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24"/>
    <w:qFormat/>
    <w:uiPriority w:val="0"/>
    <w:pPr>
      <w:jc w:val="left"/>
    </w:pPr>
  </w:style>
  <w:style w:type="paragraph" w:styleId="7">
    <w:name w:val="Body Text"/>
    <w:basedOn w:val="1"/>
    <w:qFormat/>
    <w:uiPriority w:val="0"/>
    <w:pPr>
      <w:autoSpaceDE w:val="0"/>
      <w:autoSpaceDN w:val="0"/>
      <w:adjustRightInd w:val="0"/>
      <w:jc w:val="left"/>
    </w:pPr>
    <w:rPr>
      <w:rFonts w:eastAsia="仿宋_GB2312"/>
      <w:kern w:val="0"/>
      <w:sz w:val="30"/>
      <w:szCs w:val="21"/>
    </w:rPr>
  </w:style>
  <w:style w:type="paragraph" w:styleId="8">
    <w:name w:val="Body Text Indent"/>
    <w:basedOn w:val="1"/>
    <w:unhideWhenUsed/>
    <w:qFormat/>
    <w:uiPriority w:val="99"/>
    <w:pPr>
      <w:spacing w:after="120"/>
      <w:ind w:left="420" w:leftChars="200"/>
    </w:pPr>
  </w:style>
  <w:style w:type="paragraph" w:styleId="9">
    <w:name w:val="Balloon Text"/>
    <w:basedOn w:val="1"/>
    <w:link w:val="25"/>
    <w:qFormat/>
    <w:uiPriority w:val="0"/>
    <w:rPr>
      <w:sz w:val="18"/>
      <w:szCs w:val="18"/>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360" w:lineRule="auto"/>
    </w:pPr>
    <w:rPr>
      <w:sz w:val="24"/>
    </w:rPr>
  </w:style>
  <w:style w:type="paragraph" w:styleId="13">
    <w:name w:val="toc 2"/>
    <w:basedOn w:val="1"/>
    <w:next w:val="1"/>
    <w:qFormat/>
    <w:uiPriority w:val="39"/>
    <w:pPr>
      <w:ind w:left="420" w:leftChars="200"/>
    </w:pPr>
  </w:style>
  <w:style w:type="paragraph" w:styleId="14">
    <w:name w:val="Normal (Web)"/>
    <w:basedOn w:val="1"/>
    <w:qFormat/>
    <w:uiPriority w:val="0"/>
    <w:rPr>
      <w:sz w:val="24"/>
    </w:rPr>
  </w:style>
  <w:style w:type="paragraph" w:styleId="15">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16">
    <w:name w:val="annotation subject"/>
    <w:basedOn w:val="6"/>
    <w:next w:val="6"/>
    <w:link w:val="28"/>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字符"/>
    <w:link w:val="2"/>
    <w:qFormat/>
    <w:uiPriority w:val="0"/>
    <w:rPr>
      <w:b/>
      <w:bCs/>
      <w:kern w:val="44"/>
      <w:sz w:val="44"/>
      <w:szCs w:val="44"/>
    </w:rPr>
  </w:style>
  <w:style w:type="character" w:customStyle="1" w:styleId="23">
    <w:name w:val="标题 2 字符"/>
    <w:link w:val="3"/>
    <w:qFormat/>
    <w:uiPriority w:val="9"/>
    <w:rPr>
      <w:rFonts w:ascii="Cambria" w:hAnsi="Cambria"/>
      <w:b/>
      <w:bCs/>
      <w:kern w:val="2"/>
      <w:sz w:val="32"/>
      <w:szCs w:val="32"/>
    </w:rPr>
  </w:style>
  <w:style w:type="character" w:customStyle="1" w:styleId="24">
    <w:name w:val="批注文字 字符"/>
    <w:link w:val="6"/>
    <w:qFormat/>
    <w:uiPriority w:val="0"/>
    <w:rPr>
      <w:kern w:val="2"/>
      <w:sz w:val="21"/>
      <w:szCs w:val="24"/>
    </w:rPr>
  </w:style>
  <w:style w:type="character" w:customStyle="1" w:styleId="25">
    <w:name w:val="批注框文本 字符"/>
    <w:link w:val="9"/>
    <w:qFormat/>
    <w:uiPriority w:val="0"/>
    <w:rPr>
      <w:kern w:val="2"/>
      <w:sz w:val="18"/>
      <w:szCs w:val="18"/>
    </w:rPr>
  </w:style>
  <w:style w:type="character" w:customStyle="1" w:styleId="26">
    <w:name w:val="页脚 字符"/>
    <w:link w:val="10"/>
    <w:qFormat/>
    <w:uiPriority w:val="0"/>
    <w:rPr>
      <w:kern w:val="2"/>
      <w:sz w:val="18"/>
      <w:szCs w:val="18"/>
    </w:rPr>
  </w:style>
  <w:style w:type="character" w:customStyle="1" w:styleId="27">
    <w:name w:val="页眉 字符"/>
    <w:link w:val="11"/>
    <w:qFormat/>
    <w:uiPriority w:val="0"/>
    <w:rPr>
      <w:kern w:val="2"/>
      <w:sz w:val="18"/>
      <w:szCs w:val="18"/>
    </w:rPr>
  </w:style>
  <w:style w:type="character" w:customStyle="1" w:styleId="28">
    <w:name w:val="批注主题 字符"/>
    <w:link w:val="16"/>
    <w:qFormat/>
    <w:uiPriority w:val="0"/>
    <w:rPr>
      <w:b/>
      <w:bCs/>
      <w:kern w:val="2"/>
      <w:sz w:val="21"/>
      <w:szCs w:val="24"/>
    </w:rPr>
  </w:style>
  <w:style w:type="character" w:customStyle="1" w:styleId="29">
    <w:name w:val="style11"/>
    <w:qFormat/>
    <w:uiPriority w:val="0"/>
  </w:style>
  <w:style w:type="character" w:customStyle="1" w:styleId="30">
    <w:name w:val="页眉 Char1"/>
    <w:qFormat/>
    <w:uiPriority w:val="0"/>
    <w:rPr>
      <w:kern w:val="2"/>
      <w:sz w:val="18"/>
      <w:szCs w:val="18"/>
    </w:rPr>
  </w:style>
  <w:style w:type="character" w:customStyle="1" w:styleId="31">
    <w:name w:val="style111"/>
    <w:qFormat/>
    <w:uiPriority w:val="0"/>
    <w:rPr>
      <w:sz w:val="22"/>
      <w:szCs w:val="22"/>
    </w:rPr>
  </w:style>
  <w:style w:type="character" w:customStyle="1" w:styleId="32">
    <w:name w:val="页脚 Char1"/>
    <w:qFormat/>
    <w:uiPriority w:val="99"/>
    <w:rPr>
      <w:kern w:val="2"/>
      <w:sz w:val="18"/>
      <w:szCs w:val="1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Char Char Char"/>
    <w:basedOn w:val="1"/>
    <w:qFormat/>
    <w:uiPriority w:val="0"/>
  </w:style>
  <w:style w:type="paragraph" w:customStyle="1" w:styleId="35">
    <w:name w:val="1"/>
    <w:basedOn w:val="1"/>
    <w:qFormat/>
    <w:uiPriority w:val="0"/>
    <w:pPr>
      <w:snapToGrid w:val="0"/>
      <w:spacing w:line="440" w:lineRule="atLeast"/>
      <w:jc w:val="left"/>
    </w:pPr>
    <w:rPr>
      <w:szCs w:val="20"/>
    </w:rPr>
  </w:style>
  <w:style w:type="paragraph" w:customStyle="1" w:styleId="36">
    <w:name w:val="p0"/>
    <w:basedOn w:val="1"/>
    <w:qFormat/>
    <w:uiPriority w:val="0"/>
    <w:pPr>
      <w:widowControl/>
    </w:pPr>
    <w:rPr>
      <w:rFonts w:ascii="Calibri" w:hAnsi="Calibri"/>
      <w:kern w:val="0"/>
      <w:szCs w:val="21"/>
    </w:rPr>
  </w:style>
  <w:style w:type="paragraph" w:customStyle="1" w:styleId="37">
    <w:name w:val="标题 2（nari）"/>
    <w:basedOn w:val="3"/>
    <w:next w:val="1"/>
    <w:qFormat/>
    <w:uiPriority w:val="0"/>
    <w:pPr>
      <w:widowControl/>
      <w:adjustRightInd w:val="0"/>
      <w:snapToGrid w:val="0"/>
      <w:spacing w:before="156" w:beforeLines="50" w:after="156" w:afterLines="50" w:line="240" w:lineRule="auto"/>
      <w:jc w:val="left"/>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34</Pages>
  <Words>3999</Words>
  <Characters>4288</Characters>
  <Lines>62</Lines>
  <Paragraphs>17</Paragraphs>
  <TotalTime>57</TotalTime>
  <ScaleCrop>false</ScaleCrop>
  <LinksUpToDate>false</LinksUpToDate>
  <CharactersWithSpaces>4326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2023-09-19T00:21:00Z</dcterms:created>
  <dc:creator>admin</dc:creator>
  <cp:lastModifiedBy>苏小水</cp:lastModifiedBy>
  <dcterms:modified xsi:type="dcterms:W3CDTF">2025-06-25T03:08:35Z</dcterms:modified>
  <dc:title>海安县供水公司DN426、DN820钢管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95BA92A8C3514FE4A9AF746AF7186B25_13</vt:lpwstr>
  </property>
  <property fmtid="{D5CDD505-2E9C-101B-9397-08002B2CF9AE}" pid="4" name="KSOTemplateDocerSaveRecord">
    <vt:lpwstr>eyJoZGlkIjoiMDljYzUzMWQ4OWI0YzBkYjYzMDRhZTY5ZjZkYmFmYTgiLCJ1c2VySWQiOiI1NTUzNzIzODMifQ==</vt:lpwstr>
  </property>
</Properties>
</file>